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7E2A" w:rsidRPr="006C7E2A" w:rsidRDefault="006C7E2A" w:rsidP="006C7E2A">
      <w:pPr>
        <w:spacing w:after="61"/>
        <w:ind w:left="10" w:hanging="10"/>
        <w:jc w:val="right"/>
        <w:rPr>
          <w:rFonts w:ascii="Arial" w:eastAsia="Arial" w:hAnsi="Arial" w:cs="Arial"/>
          <w:sz w:val="26"/>
        </w:rPr>
      </w:pPr>
      <w:r>
        <w:rPr>
          <w:rFonts w:ascii="Arial" w:eastAsia="Arial" w:hAnsi="Arial" w:cs="Arial"/>
          <w:sz w:val="26"/>
        </w:rPr>
        <w:t>Załącznik n</w:t>
      </w:r>
      <w:bookmarkStart w:id="0" w:name="_GoBack"/>
      <w:bookmarkEnd w:id="0"/>
      <w:r w:rsidRPr="006C7E2A">
        <w:rPr>
          <w:rFonts w:ascii="Arial" w:eastAsia="Arial" w:hAnsi="Arial" w:cs="Arial"/>
          <w:sz w:val="26"/>
        </w:rPr>
        <w:t>r 13 do SIWZ</w:t>
      </w:r>
    </w:p>
    <w:p w:rsidR="006C7E2A" w:rsidRDefault="006C7E2A" w:rsidP="006C7E2A">
      <w:pPr>
        <w:spacing w:after="61"/>
        <w:ind w:left="10" w:hanging="10"/>
        <w:jc w:val="right"/>
        <w:rPr>
          <w:rFonts w:ascii="Arial" w:eastAsia="Arial" w:hAnsi="Arial" w:cs="Arial"/>
          <w:b/>
          <w:sz w:val="26"/>
        </w:rPr>
      </w:pPr>
    </w:p>
    <w:p w:rsidR="00025B8E" w:rsidRDefault="00C13F2C">
      <w:pPr>
        <w:spacing w:after="61"/>
        <w:ind w:left="10" w:hanging="10"/>
        <w:jc w:val="center"/>
      </w:pPr>
      <w:r>
        <w:rPr>
          <w:rFonts w:ascii="Arial" w:eastAsia="Arial" w:hAnsi="Arial" w:cs="Arial"/>
          <w:b/>
          <w:sz w:val="26"/>
        </w:rPr>
        <w:t xml:space="preserve">INSTRUKCJA WYPEŁNIANIA  </w:t>
      </w:r>
    </w:p>
    <w:p w:rsidR="00025B8E" w:rsidRDefault="00C13F2C">
      <w:pPr>
        <w:spacing w:after="21"/>
        <w:ind w:left="10" w:right="9" w:hanging="10"/>
        <w:jc w:val="center"/>
      </w:pPr>
      <w:r>
        <w:rPr>
          <w:rFonts w:ascii="Arial" w:eastAsia="Arial" w:hAnsi="Arial" w:cs="Arial"/>
          <w:b/>
          <w:sz w:val="26"/>
        </w:rPr>
        <w:t xml:space="preserve">Jednolity Europejski Dokument Zamówienia JEDZ </w:t>
      </w:r>
    </w:p>
    <w:p w:rsidR="00025B8E" w:rsidRDefault="00C13F2C">
      <w:pPr>
        <w:spacing w:after="24"/>
        <w:ind w:right="8"/>
        <w:jc w:val="center"/>
      </w:pPr>
      <w:r>
        <w:rPr>
          <w:rFonts w:ascii="Arial" w:eastAsia="Arial" w:hAnsi="Arial" w:cs="Arial"/>
          <w:b/>
          <w:sz w:val="26"/>
        </w:rPr>
        <w:t>(</w:t>
      </w:r>
      <w:r>
        <w:rPr>
          <w:rFonts w:ascii="Arial" w:eastAsia="Arial" w:hAnsi="Arial" w:cs="Arial"/>
          <w:b/>
          <w:i/>
          <w:sz w:val="26"/>
        </w:rPr>
        <w:t>European Single Procurement Document ESPD</w:t>
      </w:r>
      <w:r>
        <w:rPr>
          <w:rFonts w:ascii="Arial" w:eastAsia="Arial" w:hAnsi="Arial" w:cs="Arial"/>
          <w:b/>
          <w:sz w:val="26"/>
        </w:rPr>
        <w:t xml:space="preserve">) </w:t>
      </w:r>
    </w:p>
    <w:p w:rsidR="00025B8E" w:rsidRDefault="00C13F2C">
      <w:pPr>
        <w:spacing w:after="201"/>
        <w:ind w:left="66"/>
        <w:jc w:val="center"/>
      </w:pPr>
      <w:r>
        <w:rPr>
          <w:rFonts w:ascii="Arial" w:eastAsia="Arial" w:hAnsi="Arial" w:cs="Arial"/>
          <w:b/>
          <w:sz w:val="26"/>
        </w:rPr>
        <w:t xml:space="preserve"> </w:t>
      </w:r>
    </w:p>
    <w:p w:rsidR="00025B8E" w:rsidRDefault="00C13F2C">
      <w:pPr>
        <w:pStyle w:val="Nagwek1"/>
        <w:spacing w:after="150"/>
        <w:ind w:left="355"/>
      </w:pPr>
      <w:r>
        <w:rPr>
          <w:rFonts w:ascii="Arial" w:eastAsia="Arial" w:hAnsi="Arial" w:cs="Arial"/>
          <w:sz w:val="22"/>
        </w:rPr>
        <w:t xml:space="preserve">I. Wejście w życie dyrektyw a podmiotowa kwalifikacja wykonawców </w:t>
      </w:r>
    </w:p>
    <w:p w:rsidR="00025B8E" w:rsidRDefault="00C13F2C">
      <w:pPr>
        <w:spacing w:after="192"/>
        <w:ind w:left="-5" w:hanging="10"/>
        <w:jc w:val="both"/>
      </w:pPr>
      <w:r>
        <w:rPr>
          <w:rFonts w:ascii="Arial" w:eastAsia="Arial" w:hAnsi="Arial" w:cs="Arial"/>
        </w:rPr>
        <w:t>Zgodnie z regulacjami art. 59 dyrektywy 2014/24/UE</w:t>
      </w:r>
      <w:r>
        <w:rPr>
          <w:rFonts w:ascii="Arial" w:eastAsia="Arial" w:hAnsi="Arial" w:cs="Arial"/>
          <w:vertAlign w:val="superscript"/>
        </w:rPr>
        <w:t>1</w:t>
      </w:r>
      <w:r>
        <w:rPr>
          <w:rFonts w:ascii="Arial" w:eastAsia="Arial" w:hAnsi="Arial" w:cs="Arial"/>
        </w:rPr>
        <w:t xml:space="preserve"> oraz art. 80 ust. 3 dyrektywy 2014/25/UE</w:t>
      </w:r>
      <w:r>
        <w:rPr>
          <w:rFonts w:ascii="Arial" w:eastAsia="Arial" w:hAnsi="Arial" w:cs="Arial"/>
          <w:vertAlign w:val="superscript"/>
        </w:rPr>
        <w:t>2</w:t>
      </w:r>
      <w:r>
        <w:rPr>
          <w:rFonts w:ascii="Arial" w:eastAsia="Arial" w:hAnsi="Arial" w:cs="Arial"/>
        </w:rPr>
        <w:t>, dalej: „</w:t>
      </w:r>
      <w:r>
        <w:rPr>
          <w:rFonts w:ascii="Arial" w:eastAsia="Arial" w:hAnsi="Arial" w:cs="Arial"/>
          <w:i/>
        </w:rPr>
        <w:t>dyrektywa</w:t>
      </w:r>
      <w:r>
        <w:rPr>
          <w:rFonts w:ascii="Arial" w:eastAsia="Arial" w:hAnsi="Arial" w:cs="Arial"/>
        </w:rPr>
        <w:t>” lub „</w:t>
      </w:r>
      <w:r>
        <w:rPr>
          <w:rFonts w:ascii="Arial" w:eastAsia="Arial" w:hAnsi="Arial" w:cs="Arial"/>
          <w:i/>
        </w:rPr>
        <w:t>dyrektywy</w:t>
      </w:r>
      <w:r>
        <w:rPr>
          <w:rFonts w:ascii="Arial" w:eastAsia="Arial" w:hAnsi="Arial" w:cs="Arial"/>
        </w:rPr>
        <w:t>”, jak też  ustawą z dnia 22 czerwca 2016 r. o zmianie ustawy – Prawo zamówień publicznych oraz niektórych innych ustaw (Dz. U. poz. 1020), dalej „</w:t>
      </w:r>
      <w:r>
        <w:rPr>
          <w:rFonts w:ascii="Arial" w:eastAsia="Arial" w:hAnsi="Arial" w:cs="Arial"/>
          <w:i/>
        </w:rPr>
        <w:t>nowelizacja ustawy Pzp</w:t>
      </w:r>
      <w:r>
        <w:rPr>
          <w:rFonts w:ascii="Arial" w:eastAsia="Arial" w:hAnsi="Arial" w:cs="Arial"/>
        </w:rPr>
        <w:t>” w odniesieniu do postępowań o udzielenie zamówienia publicznego oraz konkursów, w których wartość zamówienia jest równa lub wyższa od progów unijnych</w:t>
      </w:r>
      <w:r>
        <w:rPr>
          <w:rFonts w:ascii="Arial" w:eastAsia="Arial" w:hAnsi="Arial" w:cs="Arial"/>
          <w:vertAlign w:val="superscript"/>
        </w:rPr>
        <w:t>3</w:t>
      </w:r>
      <w:r>
        <w:rPr>
          <w:rFonts w:ascii="Arial" w:eastAsia="Arial" w:hAnsi="Arial" w:cs="Arial"/>
        </w:rPr>
        <w:t xml:space="preserve"> podstawowym dokumentem stanowiącym wstępne potwierdzenie: </w:t>
      </w:r>
    </w:p>
    <w:p w:rsidR="00025B8E" w:rsidRDefault="00C13F2C">
      <w:pPr>
        <w:numPr>
          <w:ilvl w:val="0"/>
          <w:numId w:val="1"/>
        </w:numPr>
        <w:spacing w:after="158"/>
        <w:ind w:hanging="360"/>
        <w:jc w:val="both"/>
      </w:pPr>
      <w:r>
        <w:rPr>
          <w:rFonts w:ascii="Arial" w:eastAsia="Arial" w:hAnsi="Arial" w:cs="Arial"/>
        </w:rPr>
        <w:t xml:space="preserve">spełniania przez wykonawcę warunków udziału w postępowaniu  </w:t>
      </w:r>
    </w:p>
    <w:p w:rsidR="00025B8E" w:rsidRDefault="00C13F2C">
      <w:pPr>
        <w:numPr>
          <w:ilvl w:val="0"/>
          <w:numId w:val="1"/>
        </w:numPr>
        <w:spacing w:after="192"/>
        <w:ind w:hanging="360"/>
        <w:jc w:val="both"/>
      </w:pPr>
      <w:r>
        <w:rPr>
          <w:rFonts w:ascii="Arial" w:eastAsia="Arial" w:hAnsi="Arial" w:cs="Arial"/>
        </w:rPr>
        <w:t xml:space="preserve">braku podstaw wykluczenia,  </w:t>
      </w:r>
    </w:p>
    <w:p w:rsidR="00025B8E" w:rsidRDefault="00C13F2C">
      <w:pPr>
        <w:numPr>
          <w:ilvl w:val="0"/>
          <w:numId w:val="1"/>
        </w:numPr>
        <w:spacing w:after="116" w:line="331" w:lineRule="auto"/>
        <w:ind w:hanging="360"/>
        <w:jc w:val="both"/>
      </w:pPr>
      <w:r>
        <w:rPr>
          <w:rFonts w:ascii="Arial" w:eastAsia="Arial" w:hAnsi="Arial" w:cs="Arial"/>
        </w:rPr>
        <w:t xml:space="preserve">jak też spełnianie kryteriów selekcji (obiektywne zasady i kryteria ustalone przez zamawiającego na potrzeby ograniczenia liczby kwalifikujących się kandydatów) </w:t>
      </w:r>
    </w:p>
    <w:p w:rsidR="00025B8E" w:rsidRDefault="00C13F2C">
      <w:pPr>
        <w:spacing w:after="55" w:line="370" w:lineRule="auto"/>
        <w:ind w:left="-5" w:hanging="10"/>
        <w:jc w:val="both"/>
      </w:pPr>
      <w:r>
        <w:rPr>
          <w:rFonts w:ascii="Arial" w:eastAsia="Arial" w:hAnsi="Arial" w:cs="Arial"/>
        </w:rPr>
        <w:t xml:space="preserve">jest </w:t>
      </w:r>
      <w:r>
        <w:rPr>
          <w:rFonts w:ascii="Arial" w:eastAsia="Arial" w:hAnsi="Arial" w:cs="Arial"/>
          <w:b/>
        </w:rPr>
        <w:t>oświadczenie własne wykonawcy</w:t>
      </w:r>
      <w:r>
        <w:rPr>
          <w:rFonts w:ascii="Arial" w:eastAsia="Arial" w:hAnsi="Arial" w:cs="Arial"/>
        </w:rPr>
        <w:t xml:space="preserve"> zastępujące, na etapie postępowania o udzielenie zamówienia, dokumenty i zaświadczenia wydawane przez organy publiczne lub osoby trzecie. </w:t>
      </w:r>
      <w:r>
        <w:rPr>
          <w:rFonts w:ascii="Arial" w:eastAsia="Arial" w:hAnsi="Arial" w:cs="Arial"/>
          <w:b/>
        </w:rPr>
        <w:t xml:space="preserve">II. Formularz Jednolitego Europejskiego Dokumentu Zamówienia  </w:t>
      </w:r>
    </w:p>
    <w:p w:rsidR="00025B8E" w:rsidRDefault="00C13F2C">
      <w:pPr>
        <w:spacing w:after="93" w:line="342" w:lineRule="auto"/>
        <w:ind w:left="-5" w:hanging="10"/>
        <w:jc w:val="both"/>
      </w:pPr>
      <w:r>
        <w:rPr>
          <w:rFonts w:ascii="Arial" w:eastAsia="Arial" w:hAnsi="Arial" w:cs="Arial"/>
        </w:rPr>
        <w:t xml:space="preserve">Oświadczenie to zostało ustalone w drodze standardowego formularza jednolitego europejskiego dokumentu zamówienia </w:t>
      </w:r>
      <w:r>
        <w:rPr>
          <w:rFonts w:ascii="Arial" w:eastAsia="Arial" w:hAnsi="Arial" w:cs="Arial"/>
          <w:b/>
        </w:rPr>
        <w:t>(JEDZ)</w:t>
      </w:r>
      <w:r>
        <w:rPr>
          <w:rFonts w:ascii="Arial" w:eastAsia="Arial" w:hAnsi="Arial" w:cs="Arial"/>
        </w:rPr>
        <w:t xml:space="preserve">, którego wzór określa rozporządzenie wykonawcze Komisji (UE) 2016/7 z dnia 5 stycznia 2016 r. (Dz. Urz. UE nr L 3 z 6.1.2016,  str. 16), zwane dalej: „rozporządzeniem JEDZ”. Rozporządzenie to  ma moc bezpośrednio obowiązującą w państwie członkowskim i weszło w życie  z dniem </w:t>
      </w:r>
      <w:r>
        <w:rPr>
          <w:rFonts w:ascii="Arial" w:eastAsia="Arial" w:hAnsi="Arial" w:cs="Arial"/>
          <w:b/>
        </w:rPr>
        <w:t xml:space="preserve">18 kwietnia 2016 r. III. Podmioty składające JEDZ </w:t>
      </w:r>
    </w:p>
    <w:p w:rsidR="00025B8E" w:rsidRDefault="00C13F2C">
      <w:pPr>
        <w:spacing w:after="72" w:line="377" w:lineRule="auto"/>
        <w:ind w:left="-5" w:hanging="10"/>
        <w:jc w:val="both"/>
      </w:pPr>
      <w:r>
        <w:rPr>
          <w:rFonts w:ascii="Arial" w:eastAsia="Arial" w:hAnsi="Arial" w:cs="Arial"/>
        </w:rPr>
        <w:t xml:space="preserve">Regulacje dyrektyw, a w ślad za nimi nowelizacja ustawy Pzp, przewidują weryfikację podmiotową przy użyciu formularza JEDZ w odniesieniu do: 1) wykonawców </w:t>
      </w:r>
    </w:p>
    <w:p w:rsidR="00025B8E" w:rsidRDefault="00C13F2C">
      <w:pPr>
        <w:spacing w:after="245" w:line="320" w:lineRule="auto"/>
        <w:ind w:left="1440" w:hanging="360"/>
        <w:jc w:val="both"/>
      </w:pPr>
      <w:r>
        <w:rPr>
          <w:rFonts w:ascii="Segoe UI Symbol" w:eastAsia="Segoe UI Symbol" w:hAnsi="Segoe UI Symbol" w:cs="Segoe UI Symbol"/>
        </w:rPr>
        <w:t></w:t>
      </w:r>
      <w:r>
        <w:rPr>
          <w:rFonts w:ascii="Arial" w:eastAsia="Arial" w:hAnsi="Arial" w:cs="Arial"/>
        </w:rPr>
        <w:t xml:space="preserve"> w przypadku wykonawców wspólnie ubiegających się o udzielenie zamówienia formularz JEDZ składa każdy z wykonawców (w odniesieniu do warunków udziału w postępowaniu oraz kryteriów selekcji wypełniony w zakresie, w jakim wykonawca wykazuje ich spełnianie); </w:t>
      </w:r>
    </w:p>
    <w:p w:rsidR="00025B8E" w:rsidRDefault="00C13F2C">
      <w:pPr>
        <w:spacing w:after="0"/>
      </w:pPr>
      <w:r>
        <w:rPr>
          <w:strike/>
        </w:rPr>
        <w:t xml:space="preserve">                                                         </w:t>
      </w:r>
      <w:r>
        <w:t xml:space="preserve"> </w:t>
      </w:r>
    </w:p>
    <w:p w:rsidR="00025B8E" w:rsidRDefault="00C13F2C">
      <w:pPr>
        <w:numPr>
          <w:ilvl w:val="0"/>
          <w:numId w:val="2"/>
        </w:numPr>
        <w:spacing w:after="5" w:line="253" w:lineRule="auto"/>
        <w:ind w:hanging="86"/>
        <w:jc w:val="both"/>
      </w:pPr>
      <w:r>
        <w:rPr>
          <w:sz w:val="16"/>
        </w:rPr>
        <w:t xml:space="preserve">dyrektywa Parlamentu Europejskiego i Rady 2014/24/UE z dnia 26 lutego 2014 r. w sprawie zamówień publicznych, uchylająca dyrektywę 2004/18/WE (Dz. Urz. UE L 94 z 28.3.2014, str. 65) </w:t>
      </w:r>
    </w:p>
    <w:p w:rsidR="00025B8E" w:rsidRDefault="00C13F2C">
      <w:pPr>
        <w:numPr>
          <w:ilvl w:val="0"/>
          <w:numId w:val="2"/>
        </w:numPr>
        <w:spacing w:after="5" w:line="253" w:lineRule="auto"/>
        <w:ind w:hanging="86"/>
        <w:jc w:val="both"/>
      </w:pPr>
      <w:r>
        <w:rPr>
          <w:sz w:val="16"/>
        </w:rPr>
        <w:t xml:space="preserve">dyrektywa Parlamentu Europejskiego i Rady 2014/25/UE z dnia 26 lutego 2014 r. w sprawie udzielania  zamówień przez podmioty działające w sektorach gospodarki wodnej, energetyki, transportu i usług pocztowych, uchylająca dyrektywę 2004/17/WE (Dz. Urz. UE L 94 z 28.3.2014, str. 243) </w:t>
      </w:r>
    </w:p>
    <w:p w:rsidR="00025B8E" w:rsidRDefault="00C13F2C">
      <w:pPr>
        <w:numPr>
          <w:ilvl w:val="0"/>
          <w:numId w:val="2"/>
        </w:numPr>
        <w:spacing w:after="34" w:line="253" w:lineRule="auto"/>
        <w:ind w:hanging="86"/>
        <w:jc w:val="both"/>
      </w:pPr>
      <w:r>
        <w:rPr>
          <w:sz w:val="16"/>
        </w:rPr>
        <w:t xml:space="preserve">Progi określone w: </w:t>
      </w:r>
    </w:p>
    <w:p w:rsidR="00025B8E" w:rsidRDefault="00C13F2C">
      <w:pPr>
        <w:numPr>
          <w:ilvl w:val="1"/>
          <w:numId w:val="2"/>
        </w:numPr>
        <w:spacing w:after="29" w:line="241" w:lineRule="auto"/>
        <w:ind w:right="-12" w:hanging="360"/>
      </w:pPr>
      <w:r>
        <w:rPr>
          <w:color w:val="343434"/>
          <w:sz w:val="16"/>
        </w:rPr>
        <w:lastRenderedPageBreak/>
        <w:t xml:space="preserve">Rozporządzeniu delegowanym Komisji (UE) 2015/2170 z dnia 24 listopada 2015 r. zmieniającym dyrektywę Parlamentu Europejskiego i Rady 2014/24/UE w odniesieniu do progów obowiązujących w zakresie procedur udzielania zamówień </w:t>
      </w:r>
    </w:p>
    <w:p w:rsidR="00025B8E" w:rsidRDefault="00C13F2C">
      <w:pPr>
        <w:numPr>
          <w:ilvl w:val="1"/>
          <w:numId w:val="2"/>
        </w:numPr>
        <w:spacing w:after="0" w:line="241" w:lineRule="auto"/>
        <w:ind w:right="-12" w:hanging="360"/>
      </w:pPr>
      <w:r>
        <w:rPr>
          <w:color w:val="343434"/>
          <w:sz w:val="16"/>
        </w:rPr>
        <w:t xml:space="preserve">Rozporządzeniu delegowanym Komisji (UE) 2015/2171 z dnia 24 listopada 2015 r. zmieniającym dyrektywę Parlamentu Europejskiego i Rady 2014/25/UE w odniesieniu do progów obowiązujących w zakresie procedur udzielania zamówień </w:t>
      </w:r>
    </w:p>
    <w:p w:rsidR="00025B8E" w:rsidRDefault="00C13F2C">
      <w:pPr>
        <w:spacing w:after="0"/>
      </w:pPr>
      <w:r>
        <w:rPr>
          <w:sz w:val="16"/>
        </w:rPr>
        <w:t xml:space="preserve"> </w:t>
      </w:r>
    </w:p>
    <w:p w:rsidR="00025B8E" w:rsidRDefault="00C13F2C">
      <w:pPr>
        <w:numPr>
          <w:ilvl w:val="2"/>
          <w:numId w:val="2"/>
        </w:numPr>
        <w:spacing w:after="192"/>
        <w:ind w:hanging="360"/>
        <w:jc w:val="both"/>
      </w:pPr>
      <w:r>
        <w:rPr>
          <w:rFonts w:ascii="Arial" w:eastAsia="Arial" w:hAnsi="Arial" w:cs="Arial"/>
        </w:rPr>
        <w:t xml:space="preserve">podmiotów trzecich </w:t>
      </w:r>
    </w:p>
    <w:p w:rsidR="00025B8E" w:rsidRDefault="00C13F2C">
      <w:pPr>
        <w:numPr>
          <w:ilvl w:val="3"/>
          <w:numId w:val="2"/>
        </w:numPr>
        <w:spacing w:after="192"/>
        <w:ind w:hanging="360"/>
        <w:jc w:val="both"/>
      </w:pPr>
      <w:r>
        <w:rPr>
          <w:rFonts w:ascii="Arial" w:eastAsia="Arial" w:hAnsi="Arial" w:cs="Arial"/>
        </w:rPr>
        <w:t xml:space="preserve">JEDZ podmiotu trzeciego składa wykonawca, jeżeli powołuje się na jego zasoby  w celu wykazania spełniania warunków udziału w postępowaniu lub kryteriów selekcji; </w:t>
      </w:r>
    </w:p>
    <w:p w:rsidR="00025B8E" w:rsidRDefault="00C13F2C">
      <w:pPr>
        <w:numPr>
          <w:ilvl w:val="3"/>
          <w:numId w:val="2"/>
        </w:numPr>
        <w:spacing w:after="114" w:line="333" w:lineRule="auto"/>
        <w:ind w:hanging="360"/>
        <w:jc w:val="both"/>
      </w:pPr>
      <w:r>
        <w:rPr>
          <w:rFonts w:ascii="Arial" w:eastAsia="Arial" w:hAnsi="Arial" w:cs="Arial"/>
        </w:rPr>
        <w:t xml:space="preserve">JEDZ powinien być wypełniony w zakresie, w jakim wykonawca korzysta z zasobów podmiotu trzeciego; </w:t>
      </w:r>
    </w:p>
    <w:p w:rsidR="00025B8E" w:rsidRDefault="00C13F2C">
      <w:pPr>
        <w:numPr>
          <w:ilvl w:val="3"/>
          <w:numId w:val="2"/>
        </w:numPr>
        <w:spacing w:after="192"/>
        <w:ind w:hanging="360"/>
        <w:jc w:val="both"/>
      </w:pPr>
      <w:r>
        <w:rPr>
          <w:rFonts w:ascii="Arial" w:eastAsia="Arial" w:hAnsi="Arial" w:cs="Arial"/>
        </w:rPr>
        <w:t xml:space="preserve">JEDZ powinien dotyczyć także weryfikacji podstaw wykluczenia podmiotu trzeciego; </w:t>
      </w:r>
    </w:p>
    <w:p w:rsidR="00025B8E" w:rsidRDefault="00C13F2C">
      <w:pPr>
        <w:numPr>
          <w:ilvl w:val="3"/>
          <w:numId w:val="2"/>
        </w:numPr>
        <w:spacing w:after="112" w:line="334" w:lineRule="auto"/>
        <w:ind w:hanging="360"/>
        <w:jc w:val="both"/>
      </w:pPr>
      <w:r>
        <w:rPr>
          <w:rFonts w:ascii="Arial" w:eastAsia="Arial" w:hAnsi="Arial" w:cs="Arial"/>
        </w:rPr>
        <w:t xml:space="preserve">dotyczy zarówno sytuacji, gdy podmiot trzeci nie będzie podwykonawcą w trakcie realizacji zamówienia, jak i sytuacji gdy takim podwykonawcą będzie; </w:t>
      </w:r>
    </w:p>
    <w:p w:rsidR="00025B8E" w:rsidRDefault="00C13F2C">
      <w:pPr>
        <w:numPr>
          <w:ilvl w:val="2"/>
          <w:numId w:val="2"/>
        </w:numPr>
        <w:spacing w:after="192"/>
        <w:ind w:hanging="360"/>
        <w:jc w:val="both"/>
      </w:pPr>
      <w:r>
        <w:rPr>
          <w:rFonts w:ascii="Arial" w:eastAsia="Arial" w:hAnsi="Arial" w:cs="Arial"/>
        </w:rPr>
        <w:t xml:space="preserve">podwykonawców  </w:t>
      </w:r>
    </w:p>
    <w:p w:rsidR="00025B8E" w:rsidRDefault="00C13F2C">
      <w:pPr>
        <w:numPr>
          <w:ilvl w:val="3"/>
          <w:numId w:val="2"/>
        </w:numPr>
        <w:spacing w:after="123" w:line="321" w:lineRule="auto"/>
        <w:ind w:hanging="360"/>
        <w:jc w:val="both"/>
      </w:pPr>
      <w:r>
        <w:rPr>
          <w:rFonts w:ascii="Arial" w:eastAsia="Arial" w:hAnsi="Arial" w:cs="Arial"/>
        </w:rPr>
        <w:t xml:space="preserve">dotyczy podwykonawców wskazanych przez wykonawcę, którym wykonawca zamierza powierzyć wykonanie części zamówienia; </w:t>
      </w:r>
    </w:p>
    <w:p w:rsidR="00025B8E" w:rsidRDefault="00C13F2C">
      <w:pPr>
        <w:numPr>
          <w:ilvl w:val="3"/>
          <w:numId w:val="2"/>
        </w:numPr>
        <w:spacing w:after="101" w:line="333" w:lineRule="auto"/>
        <w:ind w:hanging="360"/>
        <w:jc w:val="both"/>
      </w:pPr>
      <w:r>
        <w:rPr>
          <w:rFonts w:ascii="Arial" w:eastAsia="Arial" w:hAnsi="Arial" w:cs="Arial"/>
        </w:rPr>
        <w:t xml:space="preserve">JEDZ powinien dotyczyć weryfikacji podstaw wykluczenia, jeżeli takie badanie zamawiający przewidział w ramach konkretnego postępowania; </w:t>
      </w:r>
    </w:p>
    <w:p w:rsidR="00025B8E" w:rsidRDefault="00C13F2C">
      <w:pPr>
        <w:numPr>
          <w:ilvl w:val="3"/>
          <w:numId w:val="2"/>
        </w:numPr>
        <w:spacing w:after="117"/>
        <w:ind w:hanging="360"/>
        <w:jc w:val="both"/>
      </w:pPr>
      <w:r>
        <w:rPr>
          <w:rFonts w:ascii="Arial" w:eastAsia="Arial" w:hAnsi="Arial" w:cs="Arial"/>
        </w:rPr>
        <w:t xml:space="preserve">JEDZ podwykonawcy składa wykonawca, jeżeli zamawiający tego wymaga.  </w:t>
      </w:r>
    </w:p>
    <w:p w:rsidR="00025B8E" w:rsidRDefault="00C13F2C">
      <w:pPr>
        <w:spacing w:after="190"/>
        <w:ind w:left="1440"/>
      </w:pPr>
      <w:r>
        <w:rPr>
          <w:rFonts w:ascii="Arial" w:eastAsia="Arial" w:hAnsi="Arial" w:cs="Arial"/>
        </w:rPr>
        <w:t xml:space="preserve"> </w:t>
      </w:r>
    </w:p>
    <w:p w:rsidR="00025B8E" w:rsidRDefault="00C13F2C">
      <w:pPr>
        <w:pStyle w:val="Nagwek1"/>
        <w:spacing w:after="195"/>
        <w:ind w:left="355"/>
      </w:pPr>
      <w:r>
        <w:rPr>
          <w:rFonts w:ascii="Arial" w:eastAsia="Arial" w:hAnsi="Arial" w:cs="Arial"/>
          <w:sz w:val="22"/>
        </w:rPr>
        <w:t xml:space="preserve">IV. Termin na złożenie JEDZ </w:t>
      </w:r>
    </w:p>
    <w:p w:rsidR="00025B8E" w:rsidRDefault="00C13F2C">
      <w:pPr>
        <w:spacing w:after="192"/>
        <w:ind w:left="-5" w:hanging="10"/>
        <w:jc w:val="both"/>
      </w:pPr>
      <w:r>
        <w:rPr>
          <w:rFonts w:ascii="Arial" w:eastAsia="Arial" w:hAnsi="Arial" w:cs="Arial"/>
        </w:rPr>
        <w:t xml:space="preserve">Wypełniony formularz JEDZ składa się: </w:t>
      </w:r>
    </w:p>
    <w:p w:rsidR="00025B8E" w:rsidRDefault="00C13F2C">
      <w:pPr>
        <w:numPr>
          <w:ilvl w:val="0"/>
          <w:numId w:val="3"/>
        </w:numPr>
        <w:spacing w:after="142"/>
        <w:ind w:hanging="360"/>
        <w:jc w:val="both"/>
      </w:pPr>
      <w:r>
        <w:rPr>
          <w:rFonts w:ascii="Arial" w:eastAsia="Arial" w:hAnsi="Arial" w:cs="Arial"/>
        </w:rPr>
        <w:t xml:space="preserve">w trybach jednoetapowych – wraz z ofertą; </w:t>
      </w:r>
    </w:p>
    <w:p w:rsidR="00025B8E" w:rsidRDefault="00C13F2C">
      <w:pPr>
        <w:numPr>
          <w:ilvl w:val="0"/>
          <w:numId w:val="3"/>
        </w:numPr>
        <w:spacing w:after="104" w:line="331" w:lineRule="auto"/>
        <w:ind w:hanging="360"/>
        <w:jc w:val="both"/>
      </w:pPr>
      <w:r>
        <w:rPr>
          <w:rFonts w:ascii="Arial" w:eastAsia="Arial" w:hAnsi="Arial" w:cs="Arial"/>
        </w:rPr>
        <w:t xml:space="preserve">w trybach wieloetapowych – wraz z wnioskiem o dopuszczenie do udziału  w postępowaniu, </w:t>
      </w:r>
    </w:p>
    <w:p w:rsidR="00025B8E" w:rsidRDefault="00C13F2C">
      <w:pPr>
        <w:numPr>
          <w:ilvl w:val="0"/>
          <w:numId w:val="3"/>
        </w:numPr>
        <w:spacing w:after="117"/>
        <w:ind w:hanging="360"/>
        <w:jc w:val="both"/>
      </w:pPr>
      <w:r>
        <w:rPr>
          <w:rFonts w:ascii="Arial" w:eastAsia="Arial" w:hAnsi="Arial" w:cs="Arial"/>
        </w:rPr>
        <w:t xml:space="preserve">w trybie zamówienia z wolnej ręki – przed zawarciem umowy. </w:t>
      </w:r>
    </w:p>
    <w:p w:rsidR="00025B8E" w:rsidRDefault="00C13F2C">
      <w:pPr>
        <w:spacing w:after="155"/>
        <w:ind w:left="720"/>
      </w:pPr>
      <w:r>
        <w:rPr>
          <w:rFonts w:ascii="Arial" w:eastAsia="Arial" w:hAnsi="Arial" w:cs="Arial"/>
        </w:rPr>
        <w:t xml:space="preserve"> </w:t>
      </w:r>
    </w:p>
    <w:p w:rsidR="00025B8E" w:rsidRDefault="00C13F2C">
      <w:pPr>
        <w:pStyle w:val="Nagwek1"/>
        <w:spacing w:after="195"/>
        <w:ind w:left="355"/>
      </w:pPr>
      <w:r>
        <w:rPr>
          <w:rFonts w:ascii="Arial" w:eastAsia="Arial" w:hAnsi="Arial" w:cs="Arial"/>
          <w:sz w:val="22"/>
        </w:rPr>
        <w:t xml:space="preserve">V. Forma JEDZ </w:t>
      </w:r>
    </w:p>
    <w:p w:rsidR="00025B8E" w:rsidRDefault="00C13F2C">
      <w:pPr>
        <w:spacing w:after="157"/>
        <w:ind w:left="-5" w:hanging="10"/>
        <w:jc w:val="both"/>
      </w:pPr>
      <w:r>
        <w:rPr>
          <w:rFonts w:ascii="Arial" w:eastAsia="Arial" w:hAnsi="Arial" w:cs="Arial"/>
        </w:rPr>
        <w:t xml:space="preserve">W przypadku zamówień lub konkursów o wartości równej lub przekraczającej progi unijne wykonawcy zobowiązani są złożyć oświadczenie </w:t>
      </w:r>
      <w:r>
        <w:rPr>
          <w:rFonts w:ascii="Arial" w:eastAsia="Arial" w:hAnsi="Arial" w:cs="Arial"/>
          <w:b/>
        </w:rPr>
        <w:t>na standardowym formularzu JEDZ</w:t>
      </w:r>
      <w:r>
        <w:rPr>
          <w:rFonts w:ascii="Arial" w:eastAsia="Arial" w:hAnsi="Arial" w:cs="Arial"/>
        </w:rPr>
        <w:t>, zgodnie z formą określoną w rozporządzeniu JEDZ</w:t>
      </w:r>
      <w:r>
        <w:rPr>
          <w:rFonts w:ascii="Arial" w:eastAsia="Arial" w:hAnsi="Arial" w:cs="Arial"/>
          <w:b/>
        </w:rPr>
        <w:t>.</w:t>
      </w:r>
      <w:r>
        <w:rPr>
          <w:rFonts w:ascii="Arial" w:eastAsia="Arial" w:hAnsi="Arial" w:cs="Arial"/>
        </w:rPr>
        <w:t xml:space="preserve"> Od dnia </w:t>
      </w:r>
      <w:r>
        <w:rPr>
          <w:rFonts w:ascii="Arial" w:eastAsia="Arial" w:hAnsi="Arial" w:cs="Arial"/>
          <w:b/>
        </w:rPr>
        <w:t xml:space="preserve">18 kwietnia 2018 r. </w:t>
      </w:r>
      <w:r>
        <w:rPr>
          <w:rFonts w:ascii="Arial" w:eastAsia="Arial" w:hAnsi="Arial" w:cs="Arial"/>
        </w:rPr>
        <w:t xml:space="preserve">(a w przypadku zamawiającego centralnego od dnia 18 kwietnia 2017 r.) formularz JEDZ przekazywany będzie zamawiającemu wyłącznie w formie elektronicznej. Do tego czasu, zgodnie z art. 17 nowelizacji ustawy Pzp JEDZ może być składany w formie pisemnej albo w postaci elektronicznej. </w:t>
      </w:r>
    </w:p>
    <w:p w:rsidR="00025B8E" w:rsidRDefault="00C13F2C">
      <w:pPr>
        <w:spacing w:after="0" w:line="322" w:lineRule="auto"/>
        <w:ind w:left="-5" w:hanging="10"/>
        <w:jc w:val="both"/>
      </w:pPr>
      <w:r>
        <w:rPr>
          <w:rFonts w:ascii="Arial" w:eastAsia="Arial" w:hAnsi="Arial" w:cs="Arial"/>
        </w:rPr>
        <w:lastRenderedPageBreak/>
        <w:t xml:space="preserve">Pod adresem: </w:t>
      </w:r>
      <w:hyperlink r:id="rId7">
        <w:r>
          <w:rPr>
            <w:rFonts w:ascii="Arial" w:eastAsia="Arial" w:hAnsi="Arial" w:cs="Arial"/>
            <w:color w:val="0563C1"/>
            <w:u w:val="single" w:color="0563C1"/>
          </w:rPr>
          <w:t>https://ec.europa.eu/growth/tools</w:t>
        </w:r>
      </w:hyperlink>
      <w:hyperlink r:id="rId8">
        <w:r>
          <w:rPr>
            <w:rFonts w:ascii="Arial" w:eastAsia="Arial" w:hAnsi="Arial" w:cs="Arial"/>
            <w:color w:val="0563C1"/>
            <w:u w:val="single" w:color="0563C1"/>
          </w:rPr>
          <w:t>-</w:t>
        </w:r>
      </w:hyperlink>
      <w:hyperlink r:id="rId9">
        <w:r>
          <w:rPr>
            <w:rFonts w:ascii="Arial" w:eastAsia="Arial" w:hAnsi="Arial" w:cs="Arial"/>
            <w:color w:val="0563C1"/>
            <w:u w:val="single" w:color="0563C1"/>
          </w:rPr>
          <w:t>databases/espd/filter?lang=pl</w:t>
        </w:r>
      </w:hyperlink>
      <w:hyperlink r:id="rId10">
        <w:r>
          <w:rPr>
            <w:rFonts w:ascii="Arial" w:eastAsia="Arial" w:hAnsi="Arial" w:cs="Arial"/>
          </w:rPr>
          <w:t xml:space="preserve"> </w:t>
        </w:r>
      </w:hyperlink>
      <w:r>
        <w:rPr>
          <w:rFonts w:ascii="Arial" w:eastAsia="Arial" w:hAnsi="Arial" w:cs="Arial"/>
        </w:rPr>
        <w:t xml:space="preserve">dostępne jest  elektroniczne narzędzie przygotowane przez KE, które może być wykorzystane od  18 kwietnia 2018 r. do realizacji obowiązku przekazywania JEDZ w formie elektronicznej, jak również pomocniczo, do tworzenia tego dokumentu w okresie przejściowym. </w:t>
      </w:r>
    </w:p>
    <w:p w:rsidR="00025B8E" w:rsidRDefault="00C13F2C">
      <w:pPr>
        <w:spacing w:after="0"/>
      </w:pPr>
      <w:r>
        <w:rPr>
          <w:rFonts w:ascii="Arial" w:eastAsia="Arial" w:hAnsi="Arial" w:cs="Arial"/>
          <w:b/>
        </w:rPr>
        <w:t xml:space="preserve"> </w:t>
      </w:r>
      <w:r>
        <w:rPr>
          <w:rFonts w:ascii="Arial" w:eastAsia="Arial" w:hAnsi="Arial" w:cs="Arial"/>
          <w:b/>
        </w:rPr>
        <w:tab/>
        <w:t xml:space="preserve"> </w:t>
      </w:r>
    </w:p>
    <w:p w:rsidR="00025B8E" w:rsidRDefault="00C13F2C">
      <w:pPr>
        <w:pStyle w:val="Nagwek1"/>
        <w:spacing w:after="195"/>
        <w:ind w:left="355"/>
      </w:pPr>
      <w:r>
        <w:rPr>
          <w:rFonts w:ascii="Arial" w:eastAsia="Arial" w:hAnsi="Arial" w:cs="Arial"/>
          <w:sz w:val="22"/>
        </w:rPr>
        <w:t xml:space="preserve">VI. Zawartość JEDZ </w:t>
      </w:r>
    </w:p>
    <w:p w:rsidR="00025B8E" w:rsidRDefault="00C13F2C">
      <w:pPr>
        <w:spacing w:after="192"/>
        <w:ind w:left="-5" w:hanging="10"/>
        <w:jc w:val="both"/>
      </w:pPr>
      <w:r>
        <w:rPr>
          <w:rFonts w:ascii="Arial" w:eastAsia="Arial" w:hAnsi="Arial" w:cs="Arial"/>
        </w:rPr>
        <w:t xml:space="preserve">Zgodnie z dyrektywą JEDZ powinien zawierać co najmniej następujące informacje: </w:t>
      </w:r>
    </w:p>
    <w:p w:rsidR="00025B8E" w:rsidRDefault="00C13F2C">
      <w:pPr>
        <w:numPr>
          <w:ilvl w:val="0"/>
          <w:numId w:val="4"/>
        </w:numPr>
        <w:spacing w:after="192"/>
        <w:ind w:hanging="360"/>
        <w:jc w:val="both"/>
      </w:pPr>
      <w:r>
        <w:rPr>
          <w:rFonts w:ascii="Arial" w:eastAsia="Arial" w:hAnsi="Arial" w:cs="Arial"/>
        </w:rPr>
        <w:t xml:space="preserve">oświadczenie wykonawcy, że w stosunku do niego nie zachodzą przesłanki (podstawy) wykluczenia; </w:t>
      </w:r>
    </w:p>
    <w:p w:rsidR="00025B8E" w:rsidRDefault="00C13F2C">
      <w:pPr>
        <w:numPr>
          <w:ilvl w:val="0"/>
          <w:numId w:val="4"/>
        </w:numPr>
        <w:spacing w:after="155"/>
        <w:ind w:hanging="360"/>
        <w:jc w:val="both"/>
      </w:pPr>
      <w:r>
        <w:rPr>
          <w:rFonts w:ascii="Arial" w:eastAsia="Arial" w:hAnsi="Arial" w:cs="Arial"/>
        </w:rPr>
        <w:t xml:space="preserve">oświadczenie wykonawcy o spełnianiu przez niego warunków udziału w postępowaniu; </w:t>
      </w:r>
    </w:p>
    <w:p w:rsidR="00025B8E" w:rsidRDefault="00C13F2C">
      <w:pPr>
        <w:numPr>
          <w:ilvl w:val="0"/>
          <w:numId w:val="4"/>
        </w:numPr>
        <w:spacing w:after="90" w:line="327" w:lineRule="auto"/>
        <w:ind w:hanging="360"/>
        <w:jc w:val="both"/>
      </w:pPr>
      <w:r>
        <w:rPr>
          <w:rFonts w:ascii="Arial" w:eastAsia="Arial" w:hAnsi="Arial" w:cs="Arial"/>
        </w:rPr>
        <w:t xml:space="preserve">oświadczenie wykonawcy o spełnianiu przez niego kryteriów selekcji służących do ograniczenia liczby wykonawców dopuszczonych do udziału w postępowaniu; </w:t>
      </w:r>
    </w:p>
    <w:p w:rsidR="00025B8E" w:rsidRDefault="00C13F2C">
      <w:pPr>
        <w:numPr>
          <w:ilvl w:val="0"/>
          <w:numId w:val="4"/>
        </w:numPr>
        <w:spacing w:after="192"/>
        <w:ind w:hanging="360"/>
        <w:jc w:val="both"/>
      </w:pPr>
      <w:r>
        <w:rPr>
          <w:rFonts w:ascii="Arial" w:eastAsia="Arial" w:hAnsi="Arial" w:cs="Arial"/>
        </w:rPr>
        <w:t xml:space="preserve">określenie organu publicznego lub osoby trzeciej odpowiedzialnych za wystawienie dokumentów potwierdzających brak podstaw do wykluczenia oraz w stosownych przypadkach spełnianie warunków udziału  w postępowaniu i kryteriów selekcji; </w:t>
      </w:r>
    </w:p>
    <w:p w:rsidR="00025B8E" w:rsidRDefault="00C13F2C">
      <w:pPr>
        <w:numPr>
          <w:ilvl w:val="0"/>
          <w:numId w:val="4"/>
        </w:numPr>
        <w:spacing w:after="105" w:line="328" w:lineRule="auto"/>
        <w:ind w:hanging="360"/>
        <w:jc w:val="both"/>
      </w:pPr>
      <w:r>
        <w:rPr>
          <w:rFonts w:ascii="Arial" w:eastAsia="Arial" w:hAnsi="Arial" w:cs="Arial"/>
        </w:rPr>
        <w:t xml:space="preserve">formalne oświadczenie wykonawcy, z którego wynika, że wykonawca będzie w stanie na żądanie i bez zwłoki przedstawić dokumenty potwierdzające brak podstaw do wykluczenia oraz spełnianie warunków udziału  w postępowaniu i kryteriów selekcji; </w:t>
      </w:r>
    </w:p>
    <w:p w:rsidR="00025B8E" w:rsidRDefault="00C13F2C">
      <w:pPr>
        <w:numPr>
          <w:ilvl w:val="0"/>
          <w:numId w:val="4"/>
        </w:numPr>
        <w:spacing w:after="150"/>
        <w:ind w:hanging="360"/>
        <w:jc w:val="both"/>
      </w:pPr>
      <w:r>
        <w:rPr>
          <w:rFonts w:ascii="Arial" w:eastAsia="Arial" w:hAnsi="Arial" w:cs="Arial"/>
        </w:rPr>
        <w:t xml:space="preserve">informacje niezbędne w celu uzyskania przez zamawiającego dokumentów potwierdzających bezpośrednio za pomocą bazy danych (na warunkach określonych w art. 59 ust. 5 dyrektywy). </w:t>
      </w:r>
    </w:p>
    <w:p w:rsidR="00025B8E" w:rsidRDefault="00C13F2C">
      <w:pPr>
        <w:spacing w:after="196"/>
      </w:pPr>
      <w:r>
        <w:rPr>
          <w:rFonts w:ascii="Arial" w:eastAsia="Arial" w:hAnsi="Arial" w:cs="Arial"/>
        </w:rPr>
        <w:t xml:space="preserve"> </w:t>
      </w:r>
    </w:p>
    <w:p w:rsidR="00025B8E" w:rsidRDefault="00C13F2C">
      <w:pPr>
        <w:spacing w:after="192"/>
        <w:ind w:left="-5" w:hanging="10"/>
        <w:jc w:val="both"/>
      </w:pPr>
      <w:r>
        <w:rPr>
          <w:rFonts w:ascii="Arial" w:eastAsia="Arial" w:hAnsi="Arial" w:cs="Arial"/>
        </w:rPr>
        <w:t xml:space="preserve">Formularz JEDZ składa się z sześciu części: </w:t>
      </w:r>
    </w:p>
    <w:p w:rsidR="00025B8E" w:rsidRDefault="00C13F2C">
      <w:pPr>
        <w:tabs>
          <w:tab w:val="center" w:pos="1043"/>
          <w:tab w:val="center" w:pos="4937"/>
        </w:tabs>
        <w:spacing w:after="192"/>
      </w:pPr>
      <w:r>
        <w:tab/>
      </w:r>
      <w:r>
        <w:rPr>
          <w:rFonts w:ascii="Arial" w:eastAsia="Arial" w:hAnsi="Arial" w:cs="Arial"/>
        </w:rPr>
        <w:t xml:space="preserve">część I. </w:t>
      </w:r>
      <w:r>
        <w:rPr>
          <w:rFonts w:ascii="Arial" w:eastAsia="Arial" w:hAnsi="Arial" w:cs="Arial"/>
        </w:rPr>
        <w:tab/>
        <w:t xml:space="preserve">identyfikacja postępowania o udzielenie zamówienia publicznego  </w:t>
      </w:r>
    </w:p>
    <w:p w:rsidR="00025B8E" w:rsidRDefault="00C13F2C">
      <w:pPr>
        <w:numPr>
          <w:ilvl w:val="1"/>
          <w:numId w:val="4"/>
        </w:numPr>
        <w:spacing w:after="0"/>
        <w:ind w:right="2153" w:firstLine="696"/>
        <w:jc w:val="both"/>
      </w:pPr>
      <w:r>
        <w:rPr>
          <w:rFonts w:ascii="Arial" w:eastAsia="Arial" w:hAnsi="Arial" w:cs="Arial"/>
        </w:rPr>
        <w:t xml:space="preserve">wypełniana przez zamawiającego lub wykonawcę oraz  </w:t>
      </w:r>
    </w:p>
    <w:tbl>
      <w:tblPr>
        <w:tblStyle w:val="TableGrid"/>
        <w:tblW w:w="4469" w:type="dxa"/>
        <w:tblInd w:w="523" w:type="dxa"/>
        <w:tblLook w:val="04A0" w:firstRow="1" w:lastRow="0" w:firstColumn="1" w:lastColumn="0" w:noHBand="0" w:noVBand="1"/>
      </w:tblPr>
      <w:tblGrid>
        <w:gridCol w:w="1253"/>
        <w:gridCol w:w="3216"/>
      </w:tblGrid>
      <w:tr w:rsidR="00025B8E">
        <w:trPr>
          <w:trHeight w:val="339"/>
        </w:trPr>
        <w:tc>
          <w:tcPr>
            <w:tcW w:w="1253" w:type="dxa"/>
            <w:tcBorders>
              <w:top w:val="nil"/>
              <w:left w:val="nil"/>
              <w:bottom w:val="nil"/>
              <w:right w:val="nil"/>
            </w:tcBorders>
          </w:tcPr>
          <w:p w:rsidR="00025B8E" w:rsidRDefault="00C13F2C">
            <w:pPr>
              <w:ind w:left="86"/>
            </w:pPr>
            <w:r>
              <w:rPr>
                <w:rFonts w:ascii="Arial" w:eastAsia="Arial" w:hAnsi="Arial" w:cs="Arial"/>
              </w:rPr>
              <w:t xml:space="preserve">część II. </w:t>
            </w:r>
          </w:p>
        </w:tc>
        <w:tc>
          <w:tcPr>
            <w:tcW w:w="3216" w:type="dxa"/>
            <w:tcBorders>
              <w:top w:val="nil"/>
              <w:left w:val="nil"/>
              <w:bottom w:val="nil"/>
              <w:right w:val="nil"/>
            </w:tcBorders>
          </w:tcPr>
          <w:p w:rsidR="00025B8E" w:rsidRDefault="00C13F2C">
            <w:r>
              <w:rPr>
                <w:rFonts w:ascii="Arial" w:eastAsia="Arial" w:hAnsi="Arial" w:cs="Arial"/>
              </w:rPr>
              <w:t xml:space="preserve">identyfikacja wykonawcy </w:t>
            </w:r>
          </w:p>
        </w:tc>
      </w:tr>
      <w:tr w:rsidR="00025B8E">
        <w:trPr>
          <w:trHeight w:val="432"/>
        </w:trPr>
        <w:tc>
          <w:tcPr>
            <w:tcW w:w="1253" w:type="dxa"/>
            <w:tcBorders>
              <w:top w:val="nil"/>
              <w:left w:val="nil"/>
              <w:bottom w:val="nil"/>
              <w:right w:val="nil"/>
            </w:tcBorders>
          </w:tcPr>
          <w:p w:rsidR="00025B8E" w:rsidRDefault="00C13F2C">
            <w:pPr>
              <w:ind w:left="24"/>
            </w:pPr>
            <w:r>
              <w:rPr>
                <w:rFonts w:ascii="Arial" w:eastAsia="Arial" w:hAnsi="Arial" w:cs="Arial"/>
              </w:rPr>
              <w:t xml:space="preserve">część III. </w:t>
            </w:r>
          </w:p>
        </w:tc>
        <w:tc>
          <w:tcPr>
            <w:tcW w:w="3216" w:type="dxa"/>
            <w:tcBorders>
              <w:top w:val="nil"/>
              <w:left w:val="nil"/>
              <w:bottom w:val="nil"/>
              <w:right w:val="nil"/>
            </w:tcBorders>
          </w:tcPr>
          <w:p w:rsidR="00025B8E" w:rsidRDefault="00C13F2C">
            <w:r>
              <w:rPr>
                <w:rFonts w:ascii="Arial" w:eastAsia="Arial" w:hAnsi="Arial" w:cs="Arial"/>
              </w:rPr>
              <w:t xml:space="preserve">przesłanki wykluczenia </w:t>
            </w:r>
          </w:p>
        </w:tc>
      </w:tr>
      <w:tr w:rsidR="00025B8E">
        <w:trPr>
          <w:trHeight w:val="432"/>
        </w:trPr>
        <w:tc>
          <w:tcPr>
            <w:tcW w:w="1253" w:type="dxa"/>
            <w:tcBorders>
              <w:top w:val="nil"/>
              <w:left w:val="nil"/>
              <w:bottom w:val="nil"/>
              <w:right w:val="nil"/>
            </w:tcBorders>
          </w:tcPr>
          <w:p w:rsidR="00025B8E" w:rsidRDefault="00C13F2C">
            <w:r>
              <w:rPr>
                <w:rFonts w:ascii="Arial" w:eastAsia="Arial" w:hAnsi="Arial" w:cs="Arial"/>
              </w:rPr>
              <w:t xml:space="preserve">część IV. </w:t>
            </w:r>
          </w:p>
        </w:tc>
        <w:tc>
          <w:tcPr>
            <w:tcW w:w="3216" w:type="dxa"/>
            <w:tcBorders>
              <w:top w:val="nil"/>
              <w:left w:val="nil"/>
              <w:bottom w:val="nil"/>
              <w:right w:val="nil"/>
            </w:tcBorders>
          </w:tcPr>
          <w:p w:rsidR="00025B8E" w:rsidRDefault="00C13F2C">
            <w:pPr>
              <w:jc w:val="both"/>
            </w:pPr>
            <w:r>
              <w:rPr>
                <w:rFonts w:ascii="Arial" w:eastAsia="Arial" w:hAnsi="Arial" w:cs="Arial"/>
              </w:rPr>
              <w:t xml:space="preserve">warunki udziału w postępowaniu </w:t>
            </w:r>
          </w:p>
        </w:tc>
      </w:tr>
      <w:tr w:rsidR="00025B8E">
        <w:trPr>
          <w:trHeight w:val="432"/>
        </w:trPr>
        <w:tc>
          <w:tcPr>
            <w:tcW w:w="1253" w:type="dxa"/>
            <w:tcBorders>
              <w:top w:val="nil"/>
              <w:left w:val="nil"/>
              <w:bottom w:val="nil"/>
              <w:right w:val="nil"/>
            </w:tcBorders>
          </w:tcPr>
          <w:p w:rsidR="00025B8E" w:rsidRDefault="00C13F2C">
            <w:pPr>
              <w:ind w:left="62"/>
            </w:pPr>
            <w:r>
              <w:rPr>
                <w:rFonts w:ascii="Arial" w:eastAsia="Arial" w:hAnsi="Arial" w:cs="Arial"/>
              </w:rPr>
              <w:t xml:space="preserve">część V. </w:t>
            </w:r>
          </w:p>
        </w:tc>
        <w:tc>
          <w:tcPr>
            <w:tcW w:w="3216" w:type="dxa"/>
            <w:tcBorders>
              <w:top w:val="nil"/>
              <w:left w:val="nil"/>
              <w:bottom w:val="nil"/>
              <w:right w:val="nil"/>
            </w:tcBorders>
          </w:tcPr>
          <w:p w:rsidR="00025B8E" w:rsidRDefault="00C13F2C">
            <w:r>
              <w:rPr>
                <w:rFonts w:ascii="Arial" w:eastAsia="Arial" w:hAnsi="Arial" w:cs="Arial"/>
              </w:rPr>
              <w:t xml:space="preserve">kryteria selekcji </w:t>
            </w:r>
          </w:p>
        </w:tc>
      </w:tr>
      <w:tr w:rsidR="00025B8E">
        <w:trPr>
          <w:trHeight w:val="340"/>
        </w:trPr>
        <w:tc>
          <w:tcPr>
            <w:tcW w:w="1253" w:type="dxa"/>
            <w:tcBorders>
              <w:top w:val="nil"/>
              <w:left w:val="nil"/>
              <w:bottom w:val="nil"/>
              <w:right w:val="nil"/>
            </w:tcBorders>
            <w:vAlign w:val="bottom"/>
          </w:tcPr>
          <w:p w:rsidR="00025B8E" w:rsidRDefault="00C13F2C">
            <w:r>
              <w:rPr>
                <w:rFonts w:ascii="Arial" w:eastAsia="Arial" w:hAnsi="Arial" w:cs="Arial"/>
              </w:rPr>
              <w:t xml:space="preserve">część VI. </w:t>
            </w:r>
          </w:p>
        </w:tc>
        <w:tc>
          <w:tcPr>
            <w:tcW w:w="3216" w:type="dxa"/>
            <w:tcBorders>
              <w:top w:val="nil"/>
              <w:left w:val="nil"/>
              <w:bottom w:val="nil"/>
              <w:right w:val="nil"/>
            </w:tcBorders>
          </w:tcPr>
          <w:p w:rsidR="00025B8E" w:rsidRDefault="00C13F2C">
            <w:r>
              <w:rPr>
                <w:rFonts w:ascii="Arial" w:eastAsia="Arial" w:hAnsi="Arial" w:cs="Arial"/>
              </w:rPr>
              <w:t xml:space="preserve">podpis(y) </w:t>
            </w:r>
          </w:p>
        </w:tc>
      </w:tr>
    </w:tbl>
    <w:p w:rsidR="00025B8E" w:rsidRDefault="00C13F2C">
      <w:pPr>
        <w:numPr>
          <w:ilvl w:val="1"/>
          <w:numId w:val="4"/>
        </w:numPr>
        <w:spacing w:after="98"/>
        <w:ind w:right="2153" w:firstLine="696"/>
        <w:jc w:val="both"/>
      </w:pPr>
      <w:r>
        <w:rPr>
          <w:rFonts w:ascii="Arial" w:eastAsia="Arial" w:hAnsi="Arial" w:cs="Arial"/>
        </w:rPr>
        <w:t xml:space="preserve">wypełnianych przez wykonawcę. </w:t>
      </w:r>
    </w:p>
    <w:p w:rsidR="00025B8E" w:rsidRDefault="00C13F2C">
      <w:pPr>
        <w:spacing w:after="81" w:line="395" w:lineRule="auto"/>
        <w:ind w:left="-5" w:hanging="10"/>
        <w:jc w:val="both"/>
      </w:pPr>
      <w:r>
        <w:rPr>
          <w:rFonts w:ascii="Arial" w:eastAsia="Arial" w:hAnsi="Arial" w:cs="Arial"/>
        </w:rPr>
        <w:t xml:space="preserve">Szczegółowe wskazówki dotyczące sposobu wypełniania standardowego formularza JEDZ znajdują się w trzeciej kolumnie załączonej tabeli. </w:t>
      </w:r>
    </w:p>
    <w:p w:rsidR="00025B8E" w:rsidRDefault="00C13F2C">
      <w:pPr>
        <w:spacing w:after="225"/>
      </w:pPr>
      <w:r>
        <w:rPr>
          <w:rFonts w:ascii="Arial" w:eastAsia="Arial" w:hAnsi="Arial" w:cs="Arial"/>
          <w:b/>
          <w:i/>
        </w:rPr>
        <w:t xml:space="preserve"> </w:t>
      </w:r>
    </w:p>
    <w:p w:rsidR="00025B8E" w:rsidRDefault="00C13F2C">
      <w:pPr>
        <w:spacing w:after="105"/>
      </w:pPr>
      <w:r>
        <w:rPr>
          <w:rFonts w:ascii="Arial" w:eastAsia="Arial" w:hAnsi="Arial" w:cs="Arial"/>
          <w:b/>
          <w:i/>
        </w:rPr>
        <w:t xml:space="preserve"> </w:t>
      </w:r>
    </w:p>
    <w:p w:rsidR="00025B8E" w:rsidRDefault="00C13F2C">
      <w:pPr>
        <w:spacing w:after="0"/>
      </w:pPr>
      <w:r>
        <w:rPr>
          <w:rFonts w:ascii="Arial" w:eastAsia="Arial" w:hAnsi="Arial" w:cs="Arial"/>
          <w:b/>
          <w:i/>
        </w:rPr>
        <w:lastRenderedPageBreak/>
        <w:t xml:space="preserve"> </w:t>
      </w:r>
      <w:r>
        <w:rPr>
          <w:rFonts w:ascii="Arial" w:eastAsia="Arial" w:hAnsi="Arial" w:cs="Arial"/>
          <w:b/>
          <w:i/>
        </w:rPr>
        <w:tab/>
        <w:t xml:space="preserve"> </w:t>
      </w:r>
    </w:p>
    <w:p w:rsidR="00025B8E" w:rsidRDefault="00C13F2C">
      <w:pPr>
        <w:spacing w:after="192" w:line="368" w:lineRule="auto"/>
        <w:ind w:left="-5" w:hanging="10"/>
        <w:jc w:val="both"/>
      </w:pPr>
      <w:r>
        <w:rPr>
          <w:rFonts w:ascii="Arial" w:eastAsia="Arial" w:hAnsi="Arial" w:cs="Arial"/>
          <w:b/>
          <w:i/>
        </w:rPr>
        <w:t>UWAGA:</w:t>
      </w:r>
      <w:r>
        <w:rPr>
          <w:rFonts w:ascii="Arial" w:eastAsia="Arial" w:hAnsi="Arial" w:cs="Arial"/>
          <w:b/>
        </w:rPr>
        <w:t xml:space="preserve">  Oświadczenie w postępowaniach o wartości poniżej progów UE </w:t>
      </w:r>
      <w:r>
        <w:rPr>
          <w:rFonts w:ascii="Arial" w:eastAsia="Arial" w:hAnsi="Arial" w:cs="Arial"/>
        </w:rPr>
        <w:t xml:space="preserve">W przypadku postępowań o udzielenie zamówienia publicznego oraz konkursów, których wartość nie przekracza równowartości progów UE oświadczenie o spełnianiu warunków udziału  w postępowaniu oraz braku podstaw do wykluczenia z postępowania, czy też spełnianiu kryteriów selekcji składane jest w formie zgodnej z wymaganiami określonymi przez zamawiającego – nie ma obowiązku wymagania/przedkładania tego oświadczenia na standardowym formularzu JEDZ, ustanowionym rozporządzeniem KE, przywołanym w pkt II. Jednakże, podobnie, jak w przypadku zamówień równych lub przekraczających wartością progi UE, od dnia 18 kwietnia 2018 r. oświadczenia takie będą obowiązkowo składane w formie elektronicznej. Do tego czasu wykonawca może przedkładać oświadczenie w formie pisemnej lub w postaci elektronicznej.  </w:t>
      </w:r>
      <w:r>
        <w:t xml:space="preserve"> </w:t>
      </w:r>
    </w:p>
    <w:p w:rsidR="00025B8E" w:rsidRDefault="00C13F2C">
      <w:pPr>
        <w:spacing w:after="0"/>
      </w:pPr>
      <w:r>
        <w:rPr>
          <w:rFonts w:ascii="Arial" w:eastAsia="Arial" w:hAnsi="Arial" w:cs="Arial"/>
        </w:rPr>
        <w:t xml:space="preserve">     </w:t>
      </w:r>
    </w:p>
    <w:p w:rsidR="00025B8E" w:rsidRDefault="00025B8E">
      <w:pPr>
        <w:sectPr w:rsidR="00025B8E">
          <w:footerReference w:type="even" r:id="rId11"/>
          <w:footerReference w:type="default" r:id="rId12"/>
          <w:footerReference w:type="first" r:id="rId13"/>
          <w:pgSz w:w="11906" w:h="16838"/>
          <w:pgMar w:top="1454" w:right="1413" w:bottom="1416" w:left="1419" w:header="708" w:footer="709" w:gutter="0"/>
          <w:cols w:space="708"/>
        </w:sectPr>
      </w:pPr>
    </w:p>
    <w:p w:rsidR="00025B8E" w:rsidRDefault="00C13F2C">
      <w:pPr>
        <w:spacing w:after="145"/>
        <w:ind w:left="12"/>
      </w:pPr>
      <w:r>
        <w:rPr>
          <w:rFonts w:ascii="Arial" w:eastAsia="Arial" w:hAnsi="Arial" w:cs="Arial"/>
        </w:rPr>
        <w:lastRenderedPageBreak/>
        <w:t xml:space="preserve"> </w:t>
      </w:r>
    </w:p>
    <w:p w:rsidR="00025B8E" w:rsidRDefault="00C13F2C">
      <w:pPr>
        <w:pStyle w:val="Nagwek1"/>
        <w:spacing w:after="492" w:line="265" w:lineRule="auto"/>
        <w:ind w:left="18" w:right="8"/>
        <w:jc w:val="center"/>
      </w:pPr>
      <w:r>
        <w:rPr>
          <w:sz w:val="22"/>
        </w:rPr>
        <w:t xml:space="preserve">Część I: Informacje dotyczące postępowania o udzielenie zamówienia oraz instytucji zamawiającej lub podmiotu zamawiającego </w:t>
      </w:r>
    </w:p>
    <w:tbl>
      <w:tblPr>
        <w:tblStyle w:val="TableGrid"/>
        <w:tblW w:w="13936" w:type="dxa"/>
        <w:tblInd w:w="18" w:type="dxa"/>
        <w:tblCellMar>
          <w:top w:w="41" w:type="dxa"/>
          <w:left w:w="107" w:type="dxa"/>
          <w:right w:w="53" w:type="dxa"/>
        </w:tblCellMar>
        <w:tblLook w:val="04A0" w:firstRow="1" w:lastRow="0" w:firstColumn="1" w:lastColumn="0" w:noHBand="0" w:noVBand="1"/>
      </w:tblPr>
      <w:tblGrid>
        <w:gridCol w:w="9289"/>
        <w:gridCol w:w="4647"/>
      </w:tblGrid>
      <w:tr w:rsidR="00025B8E">
        <w:trPr>
          <w:trHeight w:val="4491"/>
        </w:trPr>
        <w:tc>
          <w:tcPr>
            <w:tcW w:w="9288" w:type="dxa"/>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spacing w:after="159" w:line="265" w:lineRule="auto"/>
              <w:ind w:right="54"/>
              <w:jc w:val="both"/>
            </w:pPr>
            <w:r>
              <w:rPr>
                <w:rFonts w:ascii="Arial" w:eastAsia="Arial" w:hAnsi="Arial" w:cs="Arial"/>
                <w:b/>
                <w:sz w:val="20"/>
              </w:rPr>
              <w:t xml:space="preserve">W przypadku postępowań o udzielenie zamówienia, w ramach których zaproszenie do ubiegania się o zamówienie opublikowano w Dzienniku Urzędowym Unii Europejskiej, informacje wymagane w części I zostaną automatycznie wyszukane, pod warunkiem że do utworzenia i wypełnienia jednolitego europejskiego dokumentu zamówienia wykorzystany zostanie elektroniczny serwis poświęcony jednolitemu europejskiemu dokumentowi zamówienia. </w:t>
            </w:r>
            <w:r>
              <w:rPr>
                <w:rFonts w:ascii="Arial" w:eastAsia="Arial" w:hAnsi="Arial" w:cs="Arial"/>
                <w:sz w:val="20"/>
              </w:rPr>
              <w:t>(</w:t>
            </w:r>
            <w:r>
              <w:rPr>
                <w:rFonts w:ascii="Arial" w:eastAsia="Arial" w:hAnsi="Arial" w:cs="Arial"/>
                <w:sz w:val="20"/>
                <w:vertAlign w:val="superscript"/>
              </w:rPr>
              <w:footnoteReference w:id="1"/>
            </w:r>
            <w:r>
              <w:rPr>
                <w:rFonts w:ascii="Arial" w:eastAsia="Arial" w:hAnsi="Arial" w:cs="Arial"/>
                <w:sz w:val="20"/>
              </w:rPr>
              <w:t xml:space="preserve">) </w:t>
            </w:r>
            <w:r>
              <w:rPr>
                <w:rFonts w:ascii="Arial" w:eastAsia="Arial" w:hAnsi="Arial" w:cs="Arial"/>
                <w:b/>
                <w:sz w:val="20"/>
              </w:rPr>
              <w:t xml:space="preserve">Adres publikacyjny stosownego ogłoszenia </w:t>
            </w:r>
            <w:r>
              <w:rPr>
                <w:rFonts w:ascii="Arial" w:eastAsia="Arial" w:hAnsi="Arial" w:cs="Arial"/>
                <w:sz w:val="20"/>
              </w:rPr>
              <w:t>(</w:t>
            </w:r>
            <w:r>
              <w:rPr>
                <w:rFonts w:ascii="Arial" w:eastAsia="Arial" w:hAnsi="Arial" w:cs="Arial"/>
                <w:b/>
                <w:sz w:val="20"/>
                <w:vertAlign w:val="superscript"/>
              </w:rPr>
              <w:footnoteReference w:id="2"/>
            </w:r>
            <w:r>
              <w:rPr>
                <w:rFonts w:ascii="Arial" w:eastAsia="Arial" w:hAnsi="Arial" w:cs="Arial"/>
                <w:sz w:val="20"/>
              </w:rPr>
              <w:t>)</w:t>
            </w:r>
            <w:r>
              <w:rPr>
                <w:rFonts w:ascii="Arial" w:eastAsia="Arial" w:hAnsi="Arial" w:cs="Arial"/>
                <w:b/>
                <w:sz w:val="20"/>
              </w:rPr>
              <w:t xml:space="preserve"> w </w:t>
            </w:r>
            <w:r>
              <w:rPr>
                <w:rFonts w:ascii="Arial" w:eastAsia="Arial" w:hAnsi="Arial" w:cs="Arial"/>
                <w:b/>
                <w:i/>
                <w:sz w:val="20"/>
              </w:rPr>
              <w:t>Dzienniku Urzędowym Unii Europejskiej</w:t>
            </w:r>
            <w:r>
              <w:rPr>
                <w:rFonts w:ascii="Arial" w:eastAsia="Arial" w:hAnsi="Arial" w:cs="Arial"/>
                <w:b/>
                <w:sz w:val="20"/>
              </w:rPr>
              <w:t>:</w:t>
            </w:r>
            <w:r>
              <w:rPr>
                <w:b/>
              </w:rPr>
              <w:t xml:space="preserve"> </w:t>
            </w:r>
          </w:p>
          <w:p w:rsidR="00025B8E" w:rsidRDefault="00C13F2C">
            <w:pPr>
              <w:spacing w:after="158"/>
            </w:pPr>
            <w:r>
              <w:rPr>
                <w:b/>
              </w:rPr>
              <w:t xml:space="preserve">Dz.U. UE S numer [], data [], strona [],  </w:t>
            </w:r>
          </w:p>
          <w:p w:rsidR="00025B8E" w:rsidRDefault="00C13F2C">
            <w:pPr>
              <w:spacing w:after="134"/>
            </w:pPr>
            <w:r>
              <w:rPr>
                <w:b/>
              </w:rPr>
              <w:t xml:space="preserve">Numer ogłoszenia w Dz.U. S: [ ][ ][ ][ ]/S [ ][ ][ ]–[ ][ ][ ][ ][ ][ ][ ] </w:t>
            </w:r>
          </w:p>
          <w:p w:rsidR="00025B8E" w:rsidRDefault="00C13F2C">
            <w:pPr>
              <w:spacing w:after="165" w:line="253" w:lineRule="auto"/>
              <w:ind w:right="64"/>
              <w:jc w:val="both"/>
            </w:pPr>
            <w:r>
              <w:rPr>
                <w:rFonts w:ascii="Arial" w:eastAsia="Arial" w:hAnsi="Arial" w:cs="Arial"/>
                <w:b/>
                <w:sz w:val="20"/>
              </w:rPr>
              <w:t>Jeżeli nie opublikowano zaproszenia do ubiegania się o zamówienie w Dz.U., instytucja zamawiająca lub podmiot zamawiający muszą wypełnić informacje umożliwiające jednoznaczne zidentyfikowanie postępowania o udzielenie zamówienia:</w:t>
            </w:r>
            <w:r>
              <w:rPr>
                <w:b/>
              </w:rPr>
              <w:t xml:space="preserve"> </w:t>
            </w:r>
          </w:p>
          <w:p w:rsidR="00025B8E" w:rsidRDefault="00C13F2C">
            <w:pPr>
              <w:ind w:right="60"/>
              <w:jc w:val="both"/>
            </w:pPr>
            <w:r>
              <w:rPr>
                <w:b/>
              </w:rPr>
              <w:t xml:space="preserve">W przypadku gdy publikacja ogłoszenia w Dzienniku Urzędowym Unii Europejskiej nie jest wymagana, proszę podać inne informacje umożliwiające jednoznaczne zidentyfikowanie postępowania o udzielenie zamówienia (np. adres publikacyjny na poziomie krajowym): [….]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159" w:line="295" w:lineRule="auto"/>
              <w:ind w:left="1"/>
            </w:pPr>
            <w:r>
              <w:rPr>
                <w:rFonts w:ascii="Arial" w:eastAsia="Arial" w:hAnsi="Arial" w:cs="Arial"/>
              </w:rPr>
              <w:t xml:space="preserve">W tym polu zamawiający wpisuje adres publikacji ogłoszenia w Dz. Urz. UE.  </w:t>
            </w:r>
          </w:p>
          <w:p w:rsidR="00025B8E" w:rsidRDefault="00C13F2C">
            <w:pPr>
              <w:ind w:left="1" w:right="380"/>
            </w:pPr>
            <w:r>
              <w:rPr>
                <w:rFonts w:ascii="Arial" w:eastAsia="Arial" w:hAnsi="Arial" w:cs="Arial"/>
              </w:rPr>
              <w:t xml:space="preserve">Jeżeli nie opublikowano ogłoszenia w  Dz. Urz. UE, zamawiający musi w tym miejscu wpisać informacje umożliwiające jednoznaczne zidentyfikowanie postępowania o udzielenie zamówienia. </w:t>
            </w:r>
          </w:p>
        </w:tc>
      </w:tr>
    </w:tbl>
    <w:p w:rsidR="00025B8E" w:rsidRDefault="00C13F2C">
      <w:pPr>
        <w:spacing w:after="99"/>
        <w:ind w:left="20" w:right="6" w:hanging="10"/>
        <w:jc w:val="center"/>
      </w:pPr>
      <w:r>
        <w:rPr>
          <w:rFonts w:ascii="Times New Roman" w:eastAsia="Times New Roman" w:hAnsi="Times New Roman" w:cs="Times New Roman"/>
          <w:b/>
        </w:rPr>
        <w:t>I</w:t>
      </w:r>
      <w:r>
        <w:rPr>
          <w:rFonts w:ascii="Times New Roman" w:eastAsia="Times New Roman" w:hAnsi="Times New Roman" w:cs="Times New Roman"/>
          <w:b/>
          <w:sz w:val="18"/>
        </w:rPr>
        <w:t>NFORMACJE NA TEMAT POSTĘPOWANIA O UDZIELENIE ZAMÓWIENIA</w:t>
      </w:r>
      <w:r>
        <w:rPr>
          <w:rFonts w:ascii="Times New Roman" w:eastAsia="Times New Roman" w:hAnsi="Times New Roman" w:cs="Times New Roman"/>
          <w:b/>
        </w:rPr>
        <w:t xml:space="preserve"> </w:t>
      </w:r>
    </w:p>
    <w:tbl>
      <w:tblPr>
        <w:tblStyle w:val="TableGrid"/>
        <w:tblW w:w="13936" w:type="dxa"/>
        <w:tblInd w:w="18" w:type="dxa"/>
        <w:tblCellMar>
          <w:top w:w="8" w:type="dxa"/>
          <w:left w:w="107" w:type="dxa"/>
          <w:right w:w="62" w:type="dxa"/>
        </w:tblCellMar>
        <w:tblLook w:val="04A0" w:firstRow="1" w:lastRow="0" w:firstColumn="1" w:lastColumn="0" w:noHBand="0" w:noVBand="1"/>
      </w:tblPr>
      <w:tblGrid>
        <w:gridCol w:w="9289"/>
        <w:gridCol w:w="4647"/>
      </w:tblGrid>
      <w:tr w:rsidR="00025B8E">
        <w:trPr>
          <w:trHeight w:val="504"/>
        </w:trPr>
        <w:tc>
          <w:tcPr>
            <w:tcW w:w="9288" w:type="dxa"/>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jc w:val="both"/>
            </w:pPr>
            <w:r>
              <w:rPr>
                <w:rFonts w:ascii="Arial" w:eastAsia="Arial" w:hAnsi="Arial" w:cs="Arial"/>
                <w:b/>
                <w:sz w:val="20"/>
              </w:rPr>
              <w:t xml:space="preserve">Informacje wymagane w części I zostaną automatycznie wyszukane, pod warunkiem że wyżej wymieniony elektroniczny serwis poświęcony jednolitemu europejskiemu dokumentowi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bl>
    <w:p w:rsidR="00025B8E" w:rsidRDefault="00025B8E">
      <w:pPr>
        <w:spacing w:after="0"/>
        <w:ind w:left="-1406" w:right="66"/>
      </w:pPr>
    </w:p>
    <w:tbl>
      <w:tblPr>
        <w:tblStyle w:val="TableGrid"/>
        <w:tblW w:w="13936" w:type="dxa"/>
        <w:tblInd w:w="18" w:type="dxa"/>
        <w:tblCellMar>
          <w:top w:w="40" w:type="dxa"/>
          <w:left w:w="107" w:type="dxa"/>
          <w:right w:w="53" w:type="dxa"/>
        </w:tblCellMar>
        <w:tblLook w:val="04A0" w:firstRow="1" w:lastRow="0" w:firstColumn="1" w:lastColumn="0" w:noHBand="0" w:noVBand="1"/>
      </w:tblPr>
      <w:tblGrid>
        <w:gridCol w:w="3490"/>
        <w:gridCol w:w="3378"/>
        <w:gridCol w:w="7068"/>
      </w:tblGrid>
      <w:tr w:rsidR="00025B8E">
        <w:trPr>
          <w:trHeight w:val="662"/>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jc w:val="both"/>
            </w:pPr>
            <w:r>
              <w:rPr>
                <w:rFonts w:ascii="Arial" w:eastAsia="Arial" w:hAnsi="Arial" w:cs="Arial"/>
                <w:b/>
                <w:sz w:val="20"/>
              </w:rPr>
              <w:t xml:space="preserve">zamówienia zostanie wykorzystany do utworzenia i wypełnienia tego dokumentu. W przeciwnym przypadku informacje te musi wypełnić wykonawca.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462"/>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lastRenderedPageBreak/>
              <w:t xml:space="preserve">Tożsamość zamawiającego </w:t>
            </w:r>
            <w:r>
              <w:t>(</w:t>
            </w:r>
            <w:r>
              <w:rPr>
                <w:rFonts w:ascii="Arial" w:eastAsia="Arial" w:hAnsi="Arial" w:cs="Arial"/>
                <w:b/>
                <w:i/>
                <w:sz w:val="20"/>
                <w:vertAlign w:val="superscript"/>
              </w:rPr>
              <w:footnoteReference w:id="3"/>
            </w:r>
            <w:r>
              <w:t>)</w:t>
            </w:r>
            <w:r>
              <w:rPr>
                <w:b/>
              </w:rPr>
              <w:t xml:space="preserve">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line="258" w:lineRule="auto"/>
              <w:ind w:left="1"/>
            </w:pPr>
            <w:r>
              <w:rPr>
                <w:rFonts w:ascii="Arial" w:eastAsia="Arial" w:hAnsi="Arial" w:cs="Arial"/>
              </w:rPr>
              <w:t xml:space="preserve">Zakres informacji wymaganych w tej części formularza pokrywa się z informacjami zawartymi w punktach I.1, II.1.1 i II.1.3 ogłoszenia o zamówieniu publikowanego w Dz. Urz. UE. </w:t>
            </w:r>
          </w:p>
          <w:p w:rsidR="00025B8E" w:rsidRDefault="00C13F2C">
            <w:pPr>
              <w:spacing w:after="192" w:line="277" w:lineRule="auto"/>
              <w:ind w:left="1" w:right="46"/>
            </w:pPr>
            <w:r>
              <w:rPr>
                <w:rFonts w:ascii="Arial" w:eastAsia="Arial" w:hAnsi="Arial" w:cs="Arial"/>
              </w:rPr>
              <w:t xml:space="preserve">Ta część formularza, co do zasady, zostaje uzupełniona automatyczne, o ile spełnione są oba poniższe warunki: </w:t>
            </w:r>
          </w:p>
          <w:p w:rsidR="00025B8E" w:rsidRDefault="00C13F2C">
            <w:pPr>
              <w:numPr>
                <w:ilvl w:val="0"/>
                <w:numId w:val="8"/>
              </w:numPr>
              <w:spacing w:after="10" w:line="262" w:lineRule="auto"/>
              <w:ind w:right="52" w:hanging="361"/>
            </w:pPr>
            <w:r>
              <w:rPr>
                <w:rFonts w:ascii="Arial" w:eastAsia="Arial" w:hAnsi="Arial" w:cs="Arial"/>
              </w:rPr>
              <w:t xml:space="preserve">postępowanie zostało wszczęte publikacją ogłoszenia o zamówieniu w Dz. Urz. UE serii S </w:t>
            </w:r>
          </w:p>
          <w:p w:rsidR="00025B8E" w:rsidRDefault="00C13F2C">
            <w:pPr>
              <w:numPr>
                <w:ilvl w:val="0"/>
                <w:numId w:val="8"/>
              </w:numPr>
              <w:spacing w:after="152" w:line="267" w:lineRule="auto"/>
              <w:ind w:right="52" w:hanging="361"/>
            </w:pPr>
            <w:r>
              <w:rPr>
                <w:rFonts w:ascii="Arial" w:eastAsia="Arial" w:hAnsi="Arial" w:cs="Arial"/>
              </w:rPr>
              <w:t xml:space="preserve">do przygotowania JEDZ wykorzystano narzędzie udostępnione przez Komisję Europejską (dostępne pod adresem: </w:t>
            </w:r>
            <w:hyperlink r:id="rId14">
              <w:r>
                <w:rPr>
                  <w:rFonts w:ascii="Arial" w:eastAsia="Arial" w:hAnsi="Arial" w:cs="Arial"/>
                  <w:color w:val="0563C1"/>
                  <w:u w:val="single" w:color="0563C1"/>
                </w:rPr>
                <w:t>https://ec.europa.eu/growth/tools</w:t>
              </w:r>
            </w:hyperlink>
            <w:hyperlink r:id="rId15"/>
            <w:hyperlink r:id="rId16">
              <w:r>
                <w:rPr>
                  <w:rFonts w:ascii="Arial" w:eastAsia="Arial" w:hAnsi="Arial" w:cs="Arial"/>
                  <w:color w:val="0563C1"/>
                  <w:u w:val="single" w:color="0563C1"/>
                </w:rPr>
                <w:t>databases/espd/filter?lang=pl</w:t>
              </w:r>
            </w:hyperlink>
            <w:hyperlink r:id="rId17">
              <w:r>
                <w:rPr>
                  <w:rFonts w:ascii="Arial" w:eastAsia="Arial" w:hAnsi="Arial" w:cs="Arial"/>
                </w:rPr>
                <w:t>)</w:t>
              </w:r>
            </w:hyperlink>
            <w:r>
              <w:rPr>
                <w:rFonts w:ascii="Arial" w:eastAsia="Arial" w:hAnsi="Arial" w:cs="Arial"/>
              </w:rPr>
              <w:t xml:space="preserve"> </w:t>
            </w:r>
          </w:p>
          <w:p w:rsidR="00025B8E" w:rsidRDefault="00C13F2C">
            <w:pPr>
              <w:spacing w:line="267" w:lineRule="auto"/>
              <w:ind w:left="1"/>
            </w:pPr>
            <w:r>
              <w:rPr>
                <w:rFonts w:ascii="Arial" w:eastAsia="Arial" w:hAnsi="Arial" w:cs="Arial"/>
              </w:rPr>
              <w:t xml:space="preserve">W takim przypadku wystarczy, że zamawiający wprowadzi w szarym polu powyżej jedynie numer opublikowanego ogłoszenia. Jeżeli ogłoszenie nie zostało jeszcze opublikowane, może do tego celu </w:t>
            </w:r>
          </w:p>
          <w:p w:rsidR="00025B8E" w:rsidRDefault="00C13F2C">
            <w:pPr>
              <w:ind w:left="1"/>
            </w:pPr>
            <w:r>
              <w:rPr>
                <w:rFonts w:ascii="Arial" w:eastAsia="Arial" w:hAnsi="Arial" w:cs="Arial"/>
              </w:rPr>
              <w:t xml:space="preserve">użyć </w:t>
            </w:r>
            <w:r>
              <w:rPr>
                <w:rFonts w:ascii="Arial" w:eastAsia="Arial" w:hAnsi="Arial" w:cs="Arial"/>
                <w:u w:val="single" w:color="000000"/>
              </w:rPr>
              <w:t>tymczasowego numeru</w:t>
            </w:r>
            <w:r>
              <w:rPr>
                <w:rFonts w:ascii="Arial" w:eastAsia="Arial" w:hAnsi="Arial" w:cs="Arial"/>
              </w:rPr>
              <w:t xml:space="preserve"> </w:t>
            </w:r>
            <w:r>
              <w:rPr>
                <w:rFonts w:ascii="Arial" w:eastAsia="Arial" w:hAnsi="Arial" w:cs="Arial"/>
                <w:u w:val="single" w:color="000000"/>
              </w:rPr>
              <w:t>identyfikacyjnego</w:t>
            </w:r>
            <w:r>
              <w:rPr>
                <w:rFonts w:ascii="Arial" w:eastAsia="Arial" w:hAnsi="Arial" w:cs="Arial"/>
              </w:rPr>
              <w:t xml:space="preserve"> otrzymanego w automatycznej odpowiedzi mailowej z </w:t>
            </w:r>
          </w:p>
        </w:tc>
      </w:tr>
      <w:tr w:rsidR="00025B8E">
        <w:trPr>
          <w:trHeight w:val="46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t xml:space="preserve">Nazwa: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749"/>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i/>
              </w:rPr>
              <w:t xml:space="preserve">Jakiego zamówienia dotyczy niniejszy dokument?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i/>
              </w:rPr>
              <w:t xml:space="preserve">Odpowiedź: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95"/>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t>Tytuł lub krótki opis udzielanego zamówienia (</w:t>
            </w:r>
            <w:r>
              <w:rPr>
                <w:rFonts w:ascii="Arial" w:eastAsia="Arial" w:hAnsi="Arial" w:cs="Arial"/>
                <w:sz w:val="20"/>
                <w:vertAlign w:val="superscript"/>
              </w:rPr>
              <w:footnoteReference w:id="4"/>
            </w:r>
            <w:r>
              <w:t xml:space="preserve">):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5183"/>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right="90"/>
              <w:jc w:val="both"/>
            </w:pPr>
            <w:r>
              <w:t>Numer referencyjny nadany sprawie przez instytucję zamawiającą lub podmiot zamawiający (</w:t>
            </w:r>
            <w:r>
              <w:rPr>
                <w:i/>
              </w:rPr>
              <w:t>jeżeli dotyczy</w:t>
            </w:r>
            <w:r>
              <w:t>)</w:t>
            </w:r>
            <w:r>
              <w:rPr>
                <w:rFonts w:ascii="Arial" w:eastAsia="Arial" w:hAnsi="Arial" w:cs="Arial"/>
                <w:color w:val="2E74B5"/>
                <w:sz w:val="20"/>
              </w:rPr>
              <w:t xml:space="preserve"> (</w:t>
            </w:r>
            <w:r>
              <w:rPr>
                <w:rFonts w:ascii="Arial" w:eastAsia="Arial" w:hAnsi="Arial" w:cs="Arial"/>
                <w:sz w:val="20"/>
                <w:vertAlign w:val="superscript"/>
              </w:rPr>
              <w:footnoteReference w:id="5"/>
            </w:r>
            <w:r>
              <w:rPr>
                <w:rFonts w:ascii="Arial" w:eastAsia="Arial" w:hAnsi="Arial" w:cs="Arial"/>
                <w:color w:val="2E74B5"/>
                <w:sz w:val="20"/>
              </w:rPr>
              <w:t>)</w:t>
            </w:r>
            <w:r>
              <w:t xml:space="preserve">: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3608"/>
        </w:trPr>
        <w:tc>
          <w:tcPr>
            <w:tcW w:w="4644" w:type="dxa"/>
            <w:tcBorders>
              <w:top w:val="single" w:sz="4" w:space="0" w:color="000000"/>
              <w:left w:val="single" w:sz="4" w:space="0" w:color="000000"/>
              <w:bottom w:val="single" w:sz="4" w:space="0" w:color="000000"/>
              <w:right w:val="single" w:sz="4" w:space="0" w:color="000000"/>
            </w:tcBorders>
          </w:tcPr>
          <w:p w:rsidR="00025B8E" w:rsidRDefault="00025B8E"/>
        </w:tc>
        <w:tc>
          <w:tcPr>
            <w:tcW w:w="4644"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158"/>
              <w:ind w:left="1"/>
            </w:pPr>
            <w:r>
              <w:rPr>
                <w:rFonts w:ascii="Arial" w:eastAsia="Arial" w:hAnsi="Arial" w:cs="Arial"/>
              </w:rPr>
              <w:t xml:space="preserve">Urzędu Publikacji po przekazaniu ogłoszenia do publikacji. </w:t>
            </w:r>
          </w:p>
          <w:p w:rsidR="00025B8E" w:rsidRDefault="00C13F2C">
            <w:pPr>
              <w:spacing w:line="264" w:lineRule="auto"/>
              <w:ind w:left="1"/>
            </w:pPr>
            <w:r>
              <w:rPr>
                <w:rFonts w:ascii="Arial" w:eastAsia="Arial" w:hAnsi="Arial" w:cs="Arial"/>
              </w:rPr>
              <w:t xml:space="preserve">W sytuacji gdy postępowanie nie jest wszczynane publikacją ogłoszenia o zamówieniu w Dz. Urz. UE, wykonawca samodzielnie wypełnia tę część formularza, wpisując podstawowe informacje dotyczące postępowania o udzielenie zamówienia: nazwę zamawiającego, tytuł lub krótki opis </w:t>
            </w:r>
          </w:p>
          <w:p w:rsidR="00025B8E" w:rsidRDefault="00C13F2C">
            <w:pPr>
              <w:ind w:left="1" w:right="23"/>
            </w:pPr>
            <w:r>
              <w:rPr>
                <w:rFonts w:ascii="Arial" w:eastAsia="Arial" w:hAnsi="Arial" w:cs="Arial"/>
              </w:rPr>
              <w:t xml:space="preserve">zamówienia i ewentualnie numer referencyjny nadany postępowaniu przez zamawiającego. </w:t>
            </w:r>
          </w:p>
        </w:tc>
      </w:tr>
      <w:tr w:rsidR="00025B8E">
        <w:trPr>
          <w:trHeight w:val="664"/>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jc w:val="both"/>
            </w:pPr>
            <w:r>
              <w:rPr>
                <w:rFonts w:ascii="Arial" w:eastAsia="Arial" w:hAnsi="Arial" w:cs="Arial"/>
                <w:b/>
                <w:sz w:val="20"/>
              </w:rPr>
              <w:t>Wszystkie pozostałe informacje we wszystkich sekcjach jednolitego europejskiego dokumentu zamówienia powinien wypełnić wykonawca</w:t>
            </w:r>
            <w:r>
              <w:rPr>
                <w:rFonts w:ascii="Arial" w:eastAsia="Arial" w:hAnsi="Arial" w:cs="Arial"/>
                <w:b/>
                <w:i/>
                <w:sz w:val="20"/>
              </w:rPr>
              <w:t>.</w:t>
            </w:r>
            <w:r>
              <w:rPr>
                <w:b/>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tc>
      </w:tr>
    </w:tbl>
    <w:p w:rsidR="00025B8E" w:rsidRDefault="00C13F2C">
      <w:pPr>
        <w:spacing w:after="161"/>
        <w:ind w:left="12"/>
      </w:pPr>
      <w:r>
        <w:rPr>
          <w:rFonts w:ascii="Arial" w:eastAsia="Arial" w:hAnsi="Arial" w:cs="Arial"/>
        </w:rPr>
        <w:t xml:space="preserve"> </w:t>
      </w:r>
    </w:p>
    <w:p w:rsidR="00025B8E" w:rsidRDefault="00C13F2C">
      <w:pPr>
        <w:spacing w:after="0"/>
        <w:ind w:left="12"/>
        <w:jc w:val="both"/>
      </w:pPr>
      <w:r>
        <w:rPr>
          <w:rFonts w:ascii="Arial" w:eastAsia="Arial" w:hAnsi="Arial" w:cs="Arial"/>
        </w:rPr>
        <w:t xml:space="preserve"> </w:t>
      </w:r>
      <w:r>
        <w:rPr>
          <w:rFonts w:ascii="Arial" w:eastAsia="Arial" w:hAnsi="Arial" w:cs="Arial"/>
        </w:rPr>
        <w:tab/>
        <w:t xml:space="preserve"> </w:t>
      </w:r>
    </w:p>
    <w:p w:rsidR="00025B8E" w:rsidRDefault="00C13F2C">
      <w:pPr>
        <w:spacing w:after="174"/>
        <w:ind w:left="4794"/>
      </w:pPr>
      <w:r>
        <w:rPr>
          <w:rFonts w:ascii="Times New Roman" w:eastAsia="Times New Roman" w:hAnsi="Times New Roman" w:cs="Times New Roman"/>
          <w:b/>
          <w:sz w:val="24"/>
        </w:rPr>
        <w:t xml:space="preserve">Część II: Informacje dotyczące wykonawcy </w:t>
      </w:r>
    </w:p>
    <w:p w:rsidR="00025B8E" w:rsidRDefault="00C13F2C">
      <w:pPr>
        <w:spacing w:after="99"/>
        <w:ind w:left="20" w:right="6" w:hanging="10"/>
        <w:jc w:val="center"/>
      </w:pPr>
      <w:r>
        <w:rPr>
          <w:rFonts w:ascii="Times New Roman" w:eastAsia="Times New Roman" w:hAnsi="Times New Roman" w:cs="Times New Roman"/>
          <w:b/>
        </w:rPr>
        <w:t>A:</w:t>
      </w:r>
      <w:r>
        <w:rPr>
          <w:rFonts w:ascii="Times New Roman" w:eastAsia="Times New Roman" w:hAnsi="Times New Roman" w:cs="Times New Roman"/>
          <w:b/>
          <w:sz w:val="18"/>
        </w:rPr>
        <w:t xml:space="preserve"> </w:t>
      </w:r>
      <w:r>
        <w:rPr>
          <w:rFonts w:ascii="Times New Roman" w:eastAsia="Times New Roman" w:hAnsi="Times New Roman" w:cs="Times New Roman"/>
          <w:b/>
        </w:rPr>
        <w:t>I</w:t>
      </w:r>
      <w:r>
        <w:rPr>
          <w:rFonts w:ascii="Times New Roman" w:eastAsia="Times New Roman" w:hAnsi="Times New Roman" w:cs="Times New Roman"/>
          <w:b/>
          <w:sz w:val="18"/>
        </w:rPr>
        <w:t>NFORMACJE NA TEMAT WYKONAWCY</w:t>
      </w:r>
      <w:r>
        <w:rPr>
          <w:rFonts w:ascii="Times New Roman" w:eastAsia="Times New Roman" w:hAnsi="Times New Roman" w:cs="Times New Roman"/>
          <w:b/>
        </w:rPr>
        <w:t xml:space="preserve"> </w:t>
      </w:r>
    </w:p>
    <w:tbl>
      <w:tblPr>
        <w:tblStyle w:val="TableGrid"/>
        <w:tblW w:w="13937" w:type="dxa"/>
        <w:tblInd w:w="17" w:type="dxa"/>
        <w:tblCellMar>
          <w:top w:w="38" w:type="dxa"/>
          <w:left w:w="106" w:type="dxa"/>
          <w:right w:w="49" w:type="dxa"/>
        </w:tblCellMar>
        <w:tblLook w:val="04A0" w:firstRow="1" w:lastRow="0" w:firstColumn="1" w:lastColumn="0" w:noHBand="0" w:noVBand="1"/>
      </w:tblPr>
      <w:tblGrid>
        <w:gridCol w:w="4645"/>
        <w:gridCol w:w="4647"/>
        <w:gridCol w:w="4645"/>
      </w:tblGrid>
      <w:tr w:rsidR="00025B8E">
        <w:trPr>
          <w:trHeight w:val="540"/>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rPr>
                <w:b/>
              </w:rPr>
              <w:t xml:space="preserve">Identyfikacja: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rPr>
                <w:b/>
              </w:rPr>
              <w:t>Odpowiedź:</w:t>
            </w:r>
            <w:r>
              <w:rPr>
                <w:b/>
                <w:sz w:val="24"/>
              </w:rPr>
              <w:t xml:space="preserve"> </w:t>
            </w:r>
          </w:p>
        </w:tc>
        <w:tc>
          <w:tcPr>
            <w:tcW w:w="4645" w:type="dxa"/>
            <w:vMerge w:val="restart"/>
            <w:tcBorders>
              <w:top w:val="single" w:sz="4" w:space="0" w:color="000000"/>
              <w:left w:val="single" w:sz="4" w:space="0" w:color="000000"/>
              <w:bottom w:val="single" w:sz="4" w:space="0" w:color="000000"/>
              <w:right w:val="single" w:sz="4" w:space="0" w:color="000000"/>
            </w:tcBorders>
            <w:vAlign w:val="center"/>
          </w:tcPr>
          <w:p w:rsidR="00025B8E" w:rsidRDefault="00C13F2C">
            <w:pPr>
              <w:spacing w:after="79" w:line="277" w:lineRule="auto"/>
              <w:jc w:val="both"/>
            </w:pPr>
            <w:r>
              <w:rPr>
                <w:rFonts w:ascii="Arial" w:eastAsia="Arial" w:hAnsi="Arial" w:cs="Arial"/>
              </w:rPr>
              <w:t xml:space="preserve">W pierwszej kolejności identyfikujemy wykonawcę składającego JEDZ.  </w:t>
            </w:r>
          </w:p>
          <w:p w:rsidR="00025B8E" w:rsidRDefault="00C13F2C">
            <w:pPr>
              <w:spacing w:after="145" w:line="244" w:lineRule="auto"/>
              <w:ind w:right="61"/>
              <w:jc w:val="both"/>
            </w:pPr>
            <w:r>
              <w:rPr>
                <w:rFonts w:ascii="Arial" w:eastAsia="Arial" w:hAnsi="Arial" w:cs="Arial"/>
              </w:rPr>
              <w:lastRenderedPageBreak/>
              <w:t xml:space="preserve">W przypadku wykonawców wspólnie ubiegających się o zamówienie w tej pozycji wskazujemy wyłącznie wykonawcę , którego JEDZ dotyczy. Wszystkich wykonawców wspólnie ubiegających się o zamówienie („konsorcjum”) wskazujemy w dalszej części formularza (ostatnie pozycje sekcji A) </w:t>
            </w:r>
          </w:p>
          <w:p w:rsidR="00025B8E" w:rsidRDefault="00C13F2C">
            <w:pPr>
              <w:spacing w:after="110" w:line="248" w:lineRule="auto"/>
              <w:ind w:right="60"/>
              <w:jc w:val="both"/>
            </w:pPr>
            <w:r>
              <w:rPr>
                <w:rFonts w:ascii="Arial" w:eastAsia="Arial" w:hAnsi="Arial" w:cs="Arial"/>
              </w:rPr>
              <w:t xml:space="preserve">W przypadku wykonawców posługujących się numerem VAT należy wpisać ten numer (Numer Identyfikacji Podatkowej poprzedzony symbolem PL). </w:t>
            </w:r>
          </w:p>
          <w:p w:rsidR="00025B8E" w:rsidRDefault="00C13F2C">
            <w:pPr>
              <w:spacing w:after="113" w:line="247" w:lineRule="auto"/>
              <w:ind w:right="61"/>
              <w:jc w:val="both"/>
            </w:pPr>
            <w:r>
              <w:rPr>
                <w:rFonts w:ascii="Arial" w:eastAsia="Arial" w:hAnsi="Arial" w:cs="Arial"/>
              </w:rPr>
              <w:t xml:space="preserve">W przypadku wykonawców nie posługujących się numerem VAT należy wpisać numer, którym wykonawca posługuje się w związku z prowadzoną działalnością: odpowiednio REGON, Numer Identyfikacji Podatkowej. </w:t>
            </w:r>
          </w:p>
          <w:p w:rsidR="00025B8E" w:rsidRDefault="00C13F2C">
            <w:pPr>
              <w:ind w:right="62"/>
              <w:jc w:val="both"/>
            </w:pPr>
            <w:r>
              <w:rPr>
                <w:rFonts w:ascii="Arial" w:eastAsia="Arial" w:hAnsi="Arial" w:cs="Arial"/>
              </w:rPr>
              <w:t xml:space="preserve">W przypadku osób fizycznych nie prowadzących działalności gospodarczej, które do celów podatkowych posługują się numerem ewidencyjnym Pesel, należy wpisać ten numer. </w:t>
            </w:r>
          </w:p>
        </w:tc>
      </w:tr>
      <w:tr w:rsidR="00025B8E">
        <w:trPr>
          <w:trHeight w:val="518"/>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Nazwa:</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   ]</w:t>
            </w:r>
            <w:r>
              <w:rPr>
                <w:sz w:val="24"/>
              </w:rP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549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77"/>
              <w:ind w:left="2"/>
            </w:pPr>
            <w:r>
              <w:lastRenderedPageBreak/>
              <w:t>Numer VAT, jeżeli dotyczy:</w:t>
            </w:r>
            <w:r>
              <w:rPr>
                <w:sz w:val="24"/>
              </w:rPr>
              <w:t xml:space="preserve"> </w:t>
            </w:r>
          </w:p>
          <w:p w:rsidR="00025B8E" w:rsidRDefault="00C13F2C">
            <w:pPr>
              <w:ind w:left="2" w:right="59"/>
              <w:jc w:val="both"/>
            </w:pPr>
            <w:r>
              <w:t>Jeżeli numer VAT nie ma zastosowania, proszę podać inny krajowy numer identyfikacyjny, jeżeli jest wymagany i ma zastosowanie.</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89"/>
              <w:ind w:left="2"/>
            </w:pPr>
            <w:r>
              <w:t>[   ]</w:t>
            </w:r>
            <w:r>
              <w:rPr>
                <w:sz w:val="24"/>
              </w:rPr>
              <w:t xml:space="preserve"> </w:t>
            </w:r>
          </w:p>
          <w:p w:rsidR="00025B8E" w:rsidRDefault="00C13F2C">
            <w:pPr>
              <w:ind w:left="2"/>
            </w:pPr>
            <w:r>
              <w:t>[   ]</w:t>
            </w:r>
            <w:r>
              <w:rPr>
                <w:sz w:val="24"/>
              </w:rP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518"/>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 xml:space="preserve">Adres pocztowy: </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w:t>
            </w:r>
            <w:r>
              <w:rPr>
                <w:sz w:val="24"/>
              </w:rPr>
              <w:t xml:space="preserve"> </w:t>
            </w:r>
          </w:p>
        </w:tc>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rFonts w:ascii="Arial" w:eastAsia="Arial" w:hAnsi="Arial" w:cs="Arial"/>
              </w:rPr>
              <w:t xml:space="preserve"> </w:t>
            </w:r>
          </w:p>
        </w:tc>
      </w:tr>
      <w:tr w:rsidR="00025B8E">
        <w:trPr>
          <w:trHeight w:val="201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01"/>
              <w:ind w:left="2"/>
            </w:pPr>
            <w:r>
              <w:t>Osoba lub osoby wyznaczone do kontaktów (</w:t>
            </w:r>
            <w:r>
              <w:rPr>
                <w:rFonts w:ascii="Arial" w:eastAsia="Arial" w:hAnsi="Arial" w:cs="Arial"/>
                <w:sz w:val="20"/>
                <w:vertAlign w:val="superscript"/>
              </w:rPr>
              <w:t>6</w:t>
            </w:r>
            <w:r>
              <w:t>):</w:t>
            </w:r>
            <w:r>
              <w:rPr>
                <w:sz w:val="24"/>
              </w:rPr>
              <w:t xml:space="preserve"> </w:t>
            </w:r>
          </w:p>
          <w:p w:rsidR="00025B8E" w:rsidRDefault="00C13F2C">
            <w:pPr>
              <w:spacing w:after="91"/>
              <w:ind w:left="2"/>
            </w:pPr>
            <w:r>
              <w:t>Telefon:</w:t>
            </w:r>
            <w:r>
              <w:rPr>
                <w:sz w:val="24"/>
              </w:rPr>
              <w:t xml:space="preserve"> </w:t>
            </w:r>
          </w:p>
          <w:p w:rsidR="00025B8E" w:rsidRDefault="00C13F2C">
            <w:pPr>
              <w:spacing w:after="92"/>
              <w:ind w:left="2"/>
            </w:pPr>
            <w:r>
              <w:t>Adres e-mail:</w:t>
            </w:r>
            <w:r>
              <w:rPr>
                <w:sz w:val="24"/>
              </w:rPr>
              <w:t xml:space="preserve"> </w:t>
            </w:r>
          </w:p>
          <w:p w:rsidR="00025B8E" w:rsidRDefault="00C13F2C">
            <w:pPr>
              <w:ind w:left="2"/>
            </w:pPr>
            <w:r>
              <w:t>Adres internetowy (adres www) (</w:t>
            </w:r>
            <w:r>
              <w:rPr>
                <w:i/>
              </w:rPr>
              <w:t>jeżeli dotyczy</w:t>
            </w:r>
            <w:r>
              <w:t>):</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90"/>
              <w:ind w:left="2"/>
            </w:pPr>
            <w:r>
              <w:t>[……]</w:t>
            </w:r>
            <w:r>
              <w:rPr>
                <w:sz w:val="24"/>
              </w:rPr>
              <w:t xml:space="preserve"> </w:t>
            </w:r>
          </w:p>
          <w:p w:rsidR="00025B8E" w:rsidRDefault="00C13F2C">
            <w:pPr>
              <w:spacing w:after="90"/>
              <w:ind w:left="2"/>
            </w:pPr>
            <w:r>
              <w:t>[……]</w:t>
            </w:r>
            <w:r>
              <w:rPr>
                <w:sz w:val="24"/>
              </w:rPr>
              <w:t xml:space="preserve"> </w:t>
            </w:r>
          </w:p>
          <w:p w:rsidR="00025B8E" w:rsidRDefault="00C13F2C">
            <w:pPr>
              <w:spacing w:after="90"/>
              <w:ind w:left="2"/>
            </w:pPr>
            <w:r>
              <w:t>[……]</w:t>
            </w:r>
            <w:r>
              <w:rPr>
                <w:sz w:val="24"/>
              </w:rPr>
              <w:t xml:space="preserve"> </w:t>
            </w:r>
          </w:p>
          <w:p w:rsidR="00025B8E" w:rsidRDefault="00C13F2C">
            <w:pPr>
              <w:ind w:left="2"/>
            </w:pPr>
            <w:r>
              <w:t>[……]</w:t>
            </w:r>
            <w:r>
              <w:rPr>
                <w:sz w:val="24"/>
              </w:rP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right="59"/>
              <w:jc w:val="both"/>
            </w:pPr>
            <w:r>
              <w:rPr>
                <w:rFonts w:ascii="Arial" w:eastAsia="Arial" w:hAnsi="Arial" w:cs="Arial"/>
              </w:rPr>
              <w:t xml:space="preserve">Informacje dotyczące osób wyznaczonych do kontaktów należy powtórzyć tyle razy, ile jest to konieczne. </w:t>
            </w:r>
          </w:p>
        </w:tc>
      </w:tr>
      <w:tr w:rsidR="00025B8E">
        <w:trPr>
          <w:trHeight w:val="519"/>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rPr>
                <w:b/>
              </w:rPr>
              <w:t>Informacje ogólne:</w:t>
            </w:r>
            <w:r>
              <w:rPr>
                <w:b/>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rPr>
                <w:b/>
              </w:rPr>
              <w:t>Odpowiedź:</w:t>
            </w:r>
            <w:r>
              <w:rPr>
                <w:b/>
                <w:sz w:val="24"/>
              </w:rPr>
              <w:t xml:space="preserve"> </w:t>
            </w:r>
          </w:p>
        </w:tc>
        <w:tc>
          <w:tcPr>
            <w:tcW w:w="4645" w:type="dxa"/>
            <w:vMerge w:val="restart"/>
            <w:tcBorders>
              <w:top w:val="single" w:sz="4" w:space="0" w:color="000000"/>
              <w:left w:val="single" w:sz="4" w:space="0" w:color="000000"/>
              <w:bottom w:val="nil"/>
              <w:right w:val="single" w:sz="4" w:space="0" w:color="000000"/>
            </w:tcBorders>
            <w:vAlign w:val="bottom"/>
          </w:tcPr>
          <w:p w:rsidR="00025B8E" w:rsidRDefault="00C13F2C">
            <w:r>
              <w:rPr>
                <w:rFonts w:ascii="Arial" w:eastAsia="Arial" w:hAnsi="Arial" w:cs="Arial"/>
              </w:rPr>
              <w:t xml:space="preserve">Na potrzeby odpowiedzi na to pytanie należy skorzystać z definicji zawartych w zaleceniu </w:t>
            </w:r>
          </w:p>
        </w:tc>
      </w:tr>
      <w:tr w:rsidR="00025B8E">
        <w:trPr>
          <w:trHeight w:val="114"/>
        </w:trPr>
        <w:tc>
          <w:tcPr>
            <w:tcW w:w="4645" w:type="dxa"/>
            <w:tcBorders>
              <w:top w:val="single" w:sz="4" w:space="0" w:color="000000"/>
              <w:left w:val="single" w:sz="4" w:space="0" w:color="000000"/>
              <w:bottom w:val="nil"/>
              <w:right w:val="single" w:sz="4" w:space="0" w:color="000000"/>
            </w:tcBorders>
          </w:tcPr>
          <w:p w:rsidR="00025B8E" w:rsidRDefault="00025B8E"/>
        </w:tc>
        <w:tc>
          <w:tcPr>
            <w:tcW w:w="4647" w:type="dxa"/>
            <w:tcBorders>
              <w:top w:val="single" w:sz="4" w:space="0" w:color="000000"/>
              <w:left w:val="single" w:sz="4" w:space="0" w:color="000000"/>
              <w:bottom w:val="nil"/>
              <w:right w:val="single" w:sz="4" w:space="0" w:color="000000"/>
            </w:tcBorders>
          </w:tcPr>
          <w:p w:rsidR="00025B8E" w:rsidRDefault="00025B8E"/>
        </w:tc>
        <w:tc>
          <w:tcPr>
            <w:tcW w:w="0" w:type="auto"/>
            <w:vMerge/>
            <w:tcBorders>
              <w:top w:val="nil"/>
              <w:left w:val="single" w:sz="4" w:space="0" w:color="000000"/>
              <w:bottom w:val="nil"/>
              <w:right w:val="single" w:sz="4" w:space="0" w:color="000000"/>
            </w:tcBorders>
          </w:tcPr>
          <w:p w:rsidR="00025B8E" w:rsidRDefault="00025B8E"/>
        </w:tc>
      </w:tr>
      <w:tr w:rsidR="00025B8E">
        <w:trPr>
          <w:trHeight w:val="1136"/>
        </w:trPr>
        <w:tc>
          <w:tcPr>
            <w:tcW w:w="4645" w:type="dxa"/>
            <w:tcBorders>
              <w:top w:val="nil"/>
              <w:left w:val="single" w:sz="4" w:space="0" w:color="000000"/>
              <w:bottom w:val="single" w:sz="4" w:space="0" w:color="000000"/>
              <w:right w:val="single" w:sz="4" w:space="0" w:color="000000"/>
            </w:tcBorders>
          </w:tcPr>
          <w:p w:rsidR="00025B8E" w:rsidRDefault="00C13F2C">
            <w:pPr>
              <w:ind w:left="2"/>
              <w:jc w:val="both"/>
            </w:pPr>
            <w:r>
              <w:t>Czy wykonawca jest mikroprzedsiębiorstwem bądź małym lub średnim przedsiębiorstwem (</w:t>
            </w:r>
            <w:r>
              <w:rPr>
                <w:rFonts w:ascii="Arial" w:eastAsia="Arial" w:hAnsi="Arial" w:cs="Arial"/>
                <w:sz w:val="20"/>
                <w:vertAlign w:val="superscript"/>
              </w:rPr>
              <w:t>7</w:t>
            </w:r>
            <w:r>
              <w:t>)?</w:t>
            </w:r>
            <w:r>
              <w:rPr>
                <w:sz w:val="24"/>
              </w:rPr>
              <w:t xml:space="preserve"> </w:t>
            </w:r>
          </w:p>
        </w:tc>
        <w:tc>
          <w:tcPr>
            <w:tcW w:w="4647" w:type="dxa"/>
            <w:tcBorders>
              <w:top w:val="nil"/>
              <w:left w:val="single" w:sz="4" w:space="0" w:color="000000"/>
              <w:bottom w:val="single" w:sz="4" w:space="0" w:color="000000"/>
              <w:right w:val="single" w:sz="4" w:space="0" w:color="000000"/>
            </w:tcBorders>
          </w:tcPr>
          <w:p w:rsidR="00025B8E" w:rsidRDefault="00C13F2C">
            <w:pPr>
              <w:ind w:left="2"/>
            </w:pPr>
            <w:r>
              <w:t>[] Tak [] Nie</w:t>
            </w:r>
            <w:r>
              <w:rPr>
                <w:sz w:val="24"/>
              </w:rPr>
              <w:t xml:space="preserve"> </w:t>
            </w:r>
          </w:p>
        </w:tc>
        <w:tc>
          <w:tcPr>
            <w:tcW w:w="4645" w:type="dxa"/>
            <w:tcBorders>
              <w:top w:val="nil"/>
              <w:left w:val="single" w:sz="4" w:space="0" w:color="000000"/>
              <w:bottom w:val="single" w:sz="4" w:space="0" w:color="000000"/>
              <w:right w:val="single" w:sz="4" w:space="0" w:color="000000"/>
            </w:tcBorders>
          </w:tcPr>
          <w:p w:rsidR="00025B8E" w:rsidRDefault="00C13F2C">
            <w:r>
              <w:rPr>
                <w:rFonts w:ascii="Arial" w:eastAsia="Arial" w:hAnsi="Arial" w:cs="Arial"/>
              </w:rPr>
              <w:t xml:space="preserve">Komisji z dnia 6 maja 2003 r. dotyczącym definicji mikroprzedsiębiorstw oraz małych i średnich przedsiębiorstw (Dz. Urz. UE L 124 z 20.5.2003, str. 36) </w:t>
            </w:r>
          </w:p>
        </w:tc>
      </w:tr>
      <w:tr w:rsidR="00025B8E">
        <w:trPr>
          <w:trHeight w:val="3228"/>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spacing w:line="245" w:lineRule="auto"/>
              <w:ind w:left="2"/>
            </w:pPr>
            <w:r>
              <w:rPr>
                <w:b/>
              </w:rPr>
              <w:t xml:space="preserve">Jedynie w przypadku gdy zamówienie jest zastrzeżone </w:t>
            </w:r>
            <w:r>
              <w:t>(</w:t>
            </w:r>
            <w:r>
              <w:rPr>
                <w:rFonts w:ascii="Arial" w:eastAsia="Arial" w:hAnsi="Arial" w:cs="Arial"/>
                <w:b/>
                <w:sz w:val="20"/>
                <w:u w:val="single" w:color="000000"/>
                <w:vertAlign w:val="superscript"/>
              </w:rPr>
              <w:t>8</w:t>
            </w:r>
            <w:r>
              <w:t>)</w:t>
            </w:r>
            <w:r>
              <w:rPr>
                <w:b/>
              </w:rPr>
              <w:t xml:space="preserve">: </w:t>
            </w:r>
            <w:r>
              <w:t>czy wykonawca jest zakładem pracy chronionej, „przedsiębiorstwem społecznym” (</w:t>
            </w:r>
            <w:r>
              <w:rPr>
                <w:rFonts w:ascii="Arial" w:eastAsia="Arial" w:hAnsi="Arial" w:cs="Arial"/>
                <w:sz w:val="20"/>
                <w:vertAlign w:val="superscript"/>
              </w:rPr>
              <w:t>9</w:t>
            </w:r>
            <w:r>
              <w:t xml:space="preserve">) lub czy będzie realizował zamówienie w ramach programów zatrudnienia chronionego? </w:t>
            </w:r>
          </w:p>
          <w:p w:rsidR="00025B8E" w:rsidRDefault="00C13F2C">
            <w:pPr>
              <w:ind w:left="2" w:right="515"/>
            </w:pPr>
            <w:r>
              <w:rPr>
                <w:b/>
              </w:rPr>
              <w:t>Jeżeli tak,</w:t>
            </w:r>
            <w:r>
              <w:t xml:space="preserve"> jaki jest odpowiedni odsetek pracowników niepełnosprawnych lub defaworyzowanych? Jeżeli jest to wymagane, proszę określić, do której kategorii lub których kategorii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rPr>
                <w:sz w:val="24"/>
              </w:rP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right="11"/>
            </w:pPr>
            <w:r>
              <w:rPr>
                <w:rFonts w:ascii="Arial" w:eastAsia="Arial" w:hAnsi="Arial" w:cs="Arial"/>
              </w:rPr>
              <w:t xml:space="preserve">Pozycję formularza wypełniamy z zaznaczeniem „Tak” jeżeli zamawiający w konkretnym postępowaniu skorzystał z możliwości wynikającej z art. 22 ust. 2 Pzp. Przepis ten przewiduje możliwość zastrzeżenia przez zamawiającego w ogłoszeniu o zamówieniu, że o udzielenie zamówienia mogą ubiegać się wyłącznie zakłady pracy chronionej oraz inni  wykonawcy, których działalność obejmuje, lub  działalność ich wyodrębnionych organizacyjnie jednostek, które będą </w:t>
            </w:r>
          </w:p>
        </w:tc>
      </w:tr>
    </w:tbl>
    <w:p w:rsidR="00025B8E" w:rsidRDefault="00C13F2C">
      <w:pPr>
        <w:spacing w:after="0"/>
        <w:ind w:left="12"/>
      </w:pPr>
      <w:r>
        <w:rPr>
          <w:strike/>
        </w:rPr>
        <w:t xml:space="preserve">                                                         </w:t>
      </w:r>
      <w:r>
        <w:t xml:space="preserve"> </w:t>
      </w:r>
    </w:p>
    <w:p w:rsidR="00025B8E" w:rsidRDefault="00C13F2C">
      <w:pPr>
        <w:numPr>
          <w:ilvl w:val="0"/>
          <w:numId w:val="5"/>
        </w:numPr>
        <w:spacing w:after="5" w:line="253" w:lineRule="auto"/>
        <w:ind w:hanging="708"/>
        <w:jc w:val="both"/>
      </w:pPr>
      <w:r>
        <w:rPr>
          <w:sz w:val="16"/>
        </w:rPr>
        <w:t xml:space="preserve">Proszę powtórzyć informacje dotyczące osób wyznaczonych do kontaktów tyle razy, ile jest to konieczne. </w:t>
      </w:r>
    </w:p>
    <w:p w:rsidR="00025B8E" w:rsidRDefault="00C13F2C">
      <w:pPr>
        <w:numPr>
          <w:ilvl w:val="0"/>
          <w:numId w:val="5"/>
        </w:numPr>
        <w:spacing w:after="5" w:line="253" w:lineRule="auto"/>
        <w:ind w:hanging="708"/>
        <w:jc w:val="both"/>
      </w:pPr>
      <w:r>
        <w:rPr>
          <w:sz w:val="16"/>
        </w:rPr>
        <w:t xml:space="preserve">Por. zalecenie Komisji z dnia 6 maja 2003 r. dotyczące definicji mikroprzedsiębiorstw oraz małych i średnich przedsiębiorstw (Dz.U. L 124 z 20.5.2003, s. 36). Te informacje są wymagane wyłącznie do celów statystycznych.  </w:t>
      </w:r>
    </w:p>
    <w:p w:rsidR="00025B8E" w:rsidRDefault="00C13F2C">
      <w:pPr>
        <w:spacing w:after="3" w:line="250" w:lineRule="auto"/>
        <w:ind w:left="-5" w:hanging="10"/>
      </w:pPr>
      <w:r>
        <w:rPr>
          <w:b/>
          <w:sz w:val="16"/>
        </w:rPr>
        <w:t xml:space="preserve">Mikroprzedsiębiorstwo: </w:t>
      </w:r>
      <w:r>
        <w:rPr>
          <w:sz w:val="16"/>
        </w:rPr>
        <w:t>przedsiębiorstwo, które</w:t>
      </w:r>
      <w:r>
        <w:rPr>
          <w:b/>
          <w:sz w:val="16"/>
        </w:rPr>
        <w:t xml:space="preserve"> zatrudnia mniej niż 10 osób </w:t>
      </w:r>
      <w:r>
        <w:rPr>
          <w:sz w:val="16"/>
        </w:rPr>
        <w:t>i którego roczny obrót lub roczna suma bilansowa</w:t>
      </w:r>
      <w:r>
        <w:rPr>
          <w:b/>
          <w:sz w:val="16"/>
        </w:rPr>
        <w:t xml:space="preserve"> nie przekracza 2 milionów EUR.</w:t>
      </w:r>
      <w:r>
        <w:rPr>
          <w:sz w:val="16"/>
        </w:rPr>
        <w:t xml:space="preserve"> </w:t>
      </w:r>
    </w:p>
    <w:p w:rsidR="00025B8E" w:rsidRDefault="00C13F2C">
      <w:pPr>
        <w:spacing w:after="3" w:line="250" w:lineRule="auto"/>
        <w:ind w:left="-5" w:hanging="10"/>
      </w:pPr>
      <w:r>
        <w:rPr>
          <w:b/>
          <w:sz w:val="16"/>
        </w:rPr>
        <w:t xml:space="preserve">Małe przedsiębiorstwo: </w:t>
      </w:r>
      <w:r>
        <w:rPr>
          <w:sz w:val="16"/>
        </w:rPr>
        <w:t>przedsiębiorstwo, które</w:t>
      </w:r>
      <w:r>
        <w:rPr>
          <w:b/>
          <w:sz w:val="16"/>
        </w:rPr>
        <w:t xml:space="preserve"> zatrudnia mniej niż 50 osób </w:t>
      </w:r>
      <w:r>
        <w:rPr>
          <w:sz w:val="16"/>
        </w:rPr>
        <w:t>i którego roczny obrót lub roczna suma bilansowa</w:t>
      </w:r>
      <w:r>
        <w:rPr>
          <w:b/>
          <w:sz w:val="16"/>
        </w:rPr>
        <w:t xml:space="preserve"> nie przekracza 10 milionów EUR.</w:t>
      </w:r>
      <w:r>
        <w:rPr>
          <w:sz w:val="16"/>
        </w:rPr>
        <w:t xml:space="preserve"> </w:t>
      </w:r>
    </w:p>
    <w:p w:rsidR="00025B8E" w:rsidRDefault="00C13F2C">
      <w:pPr>
        <w:spacing w:after="3" w:line="250" w:lineRule="auto"/>
        <w:ind w:left="-5" w:hanging="10"/>
      </w:pPr>
      <w:r>
        <w:rPr>
          <w:b/>
          <w:sz w:val="16"/>
        </w:rPr>
        <w:t>Średnie przedsiębiorstwa: przedsiębiorstwa, które nie są mikroprzedsiębiorstwami ani małymi przedsiębiorstwami</w:t>
      </w:r>
      <w:r>
        <w:rPr>
          <w:sz w:val="16"/>
        </w:rPr>
        <w:t xml:space="preserve"> i które </w:t>
      </w:r>
      <w:r>
        <w:rPr>
          <w:b/>
          <w:sz w:val="16"/>
        </w:rPr>
        <w:t>zatrudniają mniej niż 250 osób</w:t>
      </w:r>
      <w:r>
        <w:rPr>
          <w:sz w:val="16"/>
        </w:rPr>
        <w:t xml:space="preserve"> i których </w:t>
      </w:r>
      <w:r>
        <w:rPr>
          <w:b/>
          <w:sz w:val="16"/>
        </w:rPr>
        <w:t>roczny obrót nie przekracza 50 milionów EUR</w:t>
      </w:r>
      <w:r>
        <w:rPr>
          <w:sz w:val="16"/>
        </w:rPr>
        <w:t xml:space="preserve"> </w:t>
      </w:r>
      <w:r>
        <w:rPr>
          <w:b/>
          <w:i/>
          <w:sz w:val="16"/>
        </w:rPr>
        <w:t>lub</w:t>
      </w:r>
      <w:r>
        <w:rPr>
          <w:sz w:val="16"/>
        </w:rPr>
        <w:t xml:space="preserve"> </w:t>
      </w:r>
      <w:r>
        <w:rPr>
          <w:b/>
          <w:sz w:val="16"/>
        </w:rPr>
        <w:t>roczna suma bilansowa nie przekracza 43 milionów EUR</w:t>
      </w:r>
      <w:r>
        <w:rPr>
          <w:sz w:val="16"/>
        </w:rPr>
        <w:t xml:space="preserve">. </w:t>
      </w:r>
    </w:p>
    <w:p w:rsidR="00025B8E" w:rsidRDefault="00C13F2C">
      <w:pPr>
        <w:numPr>
          <w:ilvl w:val="0"/>
          <w:numId w:val="5"/>
        </w:numPr>
        <w:spacing w:after="5" w:line="253" w:lineRule="auto"/>
        <w:ind w:hanging="708"/>
        <w:jc w:val="both"/>
      </w:pPr>
      <w:r>
        <w:rPr>
          <w:sz w:val="16"/>
        </w:rPr>
        <w:t xml:space="preserve">Zob. ogłoszenie o zamówieniu, pkt III.1.5. </w:t>
      </w:r>
    </w:p>
    <w:p w:rsidR="00025B8E" w:rsidRDefault="00C13F2C">
      <w:pPr>
        <w:numPr>
          <w:ilvl w:val="0"/>
          <w:numId w:val="5"/>
        </w:numPr>
        <w:spacing w:after="5" w:line="253" w:lineRule="auto"/>
        <w:ind w:hanging="708"/>
        <w:jc w:val="both"/>
      </w:pPr>
      <w:r>
        <w:rPr>
          <w:sz w:val="16"/>
        </w:rPr>
        <w:t xml:space="preserve">Tj. przedsiębiorstwem, którego głównym celem jest społeczna i zawodowa integracja osób niepełnosprawnych lub defaworyzowanych. </w:t>
      </w:r>
    </w:p>
    <w:p w:rsidR="00025B8E" w:rsidRDefault="00025B8E">
      <w:pPr>
        <w:spacing w:after="0"/>
        <w:ind w:left="-1406" w:right="66"/>
      </w:pPr>
    </w:p>
    <w:tbl>
      <w:tblPr>
        <w:tblStyle w:val="TableGrid"/>
        <w:tblW w:w="13937" w:type="dxa"/>
        <w:tblInd w:w="17" w:type="dxa"/>
        <w:tblCellMar>
          <w:top w:w="46" w:type="dxa"/>
          <w:left w:w="106" w:type="dxa"/>
          <w:right w:w="59" w:type="dxa"/>
        </w:tblCellMar>
        <w:tblLook w:val="04A0" w:firstRow="1" w:lastRow="0" w:firstColumn="1" w:lastColumn="0" w:noHBand="0" w:noVBand="1"/>
      </w:tblPr>
      <w:tblGrid>
        <w:gridCol w:w="4645"/>
        <w:gridCol w:w="4647"/>
        <w:gridCol w:w="4645"/>
      </w:tblGrid>
      <w:tr w:rsidR="00025B8E">
        <w:trPr>
          <w:trHeight w:val="6935"/>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pracowników niepełnosprawnych lub defaworyzowanych należą dani pracownicy.</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1" w:line="239" w:lineRule="auto"/>
            </w:pPr>
            <w:r>
              <w:rPr>
                <w:rFonts w:ascii="Arial" w:eastAsia="Arial" w:hAnsi="Arial" w:cs="Arial"/>
              </w:rPr>
              <w:t xml:space="preserve">realizowały zamówienie, obejmuje społeczną i zawodową integrację osób będących członkami grup społecznie </w:t>
            </w:r>
          </w:p>
          <w:p w:rsidR="00025B8E" w:rsidRDefault="00C13F2C">
            <w:pPr>
              <w:spacing w:after="129" w:line="266" w:lineRule="auto"/>
            </w:pPr>
            <w:r>
              <w:rPr>
                <w:rFonts w:ascii="Arial" w:eastAsia="Arial" w:hAnsi="Arial" w:cs="Arial"/>
              </w:rPr>
              <w:t xml:space="preserve">marginalizowanych. W szczególności przepis wskazuje w tym zakresie przykładowe grupy osób marginalizowanych.  </w:t>
            </w:r>
          </w:p>
          <w:p w:rsidR="00025B8E" w:rsidRDefault="00C13F2C">
            <w:pPr>
              <w:spacing w:after="150" w:line="247" w:lineRule="auto"/>
            </w:pPr>
            <w:r>
              <w:rPr>
                <w:rFonts w:ascii="Arial" w:eastAsia="Arial" w:hAnsi="Arial" w:cs="Arial"/>
              </w:rPr>
              <w:t xml:space="preserve">Zastrzeżenie to sprowadza się do określenia zgodnie z art. 22 ust. 2a ustawy Pzp minimalnego procentowego wskaźnika zatrudnienia osób należących do jednej lub więcej kategorii, o których mowa w ust. 2, nie mniejszego niż 30%, osób zatrudnionych przez zakłady pracy chronionej lub wykonawców albo ich jednostki, o których mowa w tym przepisie. </w:t>
            </w:r>
          </w:p>
          <w:p w:rsidR="00025B8E" w:rsidRDefault="00C13F2C">
            <w:pPr>
              <w:spacing w:after="109" w:line="251" w:lineRule="auto"/>
            </w:pPr>
            <w:r>
              <w:rPr>
                <w:rFonts w:ascii="Arial" w:eastAsia="Arial" w:hAnsi="Arial" w:cs="Arial"/>
              </w:rPr>
              <w:t xml:space="preserve">Informację, czy zamówienie zostało w ten sposób zastrzeżone, można znaleźć w punkcie III.1.5 ogłoszenia o zamówieniu (Dz. Urz. UE). </w:t>
            </w:r>
          </w:p>
          <w:p w:rsidR="00025B8E" w:rsidRDefault="00C13F2C">
            <w:pPr>
              <w:spacing w:after="108" w:line="251" w:lineRule="auto"/>
            </w:pPr>
            <w:r>
              <w:rPr>
                <w:rFonts w:ascii="Arial" w:eastAsia="Arial" w:hAnsi="Arial" w:cs="Arial"/>
              </w:rPr>
              <w:t xml:space="preserve">Przez „przedsiębiorstwo społeczne” należy rozumieć przedsiębiorstwo, którego głównym celem jest społeczna i zawodowa integracja osób niepełnosprawnych lub defaworyzowanych. </w:t>
            </w:r>
          </w:p>
          <w:p w:rsidR="00025B8E" w:rsidRDefault="00C13F2C">
            <w:r>
              <w:rPr>
                <w:rFonts w:ascii="Arial" w:eastAsia="Arial" w:hAnsi="Arial" w:cs="Arial"/>
              </w:rPr>
              <w:t xml:space="preserve"> </w:t>
            </w:r>
          </w:p>
        </w:tc>
      </w:tr>
      <w:tr w:rsidR="00025B8E">
        <w:trPr>
          <w:trHeight w:val="1594"/>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right="48"/>
              <w:jc w:val="both"/>
            </w:pPr>
            <w:r>
              <w:lastRenderedPageBreak/>
              <w:t>Jeżeli dotyczy, czy wykonawca jest wpisany do urzędowego wykazu zatwierdzonych wykonawców lub posiada równoważne zaświadczenie (np. w ramach krajowego systemu (wstępnego) kwalifikowania)?</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Tak [] Nie [] Nie dotyczy</w:t>
            </w:r>
            <w:r>
              <w:rPr>
                <w:sz w:val="24"/>
              </w:rPr>
              <w:t xml:space="preserve"> </w:t>
            </w:r>
          </w:p>
        </w:tc>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rFonts w:ascii="Arial" w:eastAsia="Arial" w:hAnsi="Arial" w:cs="Arial"/>
              </w:rPr>
              <w:t>Dyrektywa</w:t>
            </w:r>
            <w:r>
              <w:rPr>
                <w:rFonts w:ascii="Segoe UI Symbol" w:eastAsia="Segoe UI Symbol" w:hAnsi="Segoe UI Symbol" w:cs="Segoe UI Symbol"/>
                <w:vertAlign w:val="superscript"/>
              </w:rPr>
              <w:footnoteReference w:id="6"/>
            </w:r>
            <w:r>
              <w:rPr>
                <w:rFonts w:ascii="Arial" w:eastAsia="Arial" w:hAnsi="Arial" w:cs="Arial"/>
              </w:rPr>
              <w:t xml:space="preserve"> w art. 64 przewiduje możliwość ustanowienia i prowadzenia przez państwa członkowskie urzędowych wykazów zatwierdzonych wykonawców oraz ich certyfikacji. Transpozycja tych przepisów nie </w:t>
            </w:r>
          </w:p>
        </w:tc>
      </w:tr>
    </w:tbl>
    <w:p w:rsidR="00025B8E" w:rsidRDefault="00025B8E">
      <w:pPr>
        <w:spacing w:after="0"/>
        <w:ind w:left="-1406" w:right="66"/>
      </w:pPr>
    </w:p>
    <w:tbl>
      <w:tblPr>
        <w:tblStyle w:val="TableGrid"/>
        <w:tblW w:w="13937" w:type="dxa"/>
        <w:tblInd w:w="17" w:type="dxa"/>
        <w:tblCellMar>
          <w:top w:w="48" w:type="dxa"/>
          <w:left w:w="106" w:type="dxa"/>
          <w:right w:w="62" w:type="dxa"/>
        </w:tblCellMar>
        <w:tblLook w:val="04A0" w:firstRow="1" w:lastRow="0" w:firstColumn="1" w:lastColumn="0" w:noHBand="0" w:noVBand="1"/>
      </w:tblPr>
      <w:tblGrid>
        <w:gridCol w:w="4645"/>
        <w:gridCol w:w="4647"/>
        <w:gridCol w:w="4645"/>
      </w:tblGrid>
      <w:tr w:rsidR="00025B8E">
        <w:trPr>
          <w:trHeight w:val="6783"/>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03" w:line="255" w:lineRule="auto"/>
            </w:pPr>
            <w:r>
              <w:rPr>
                <w:rFonts w:ascii="Arial" w:eastAsia="Arial" w:hAnsi="Arial" w:cs="Arial"/>
              </w:rPr>
              <w:t xml:space="preserve">jest obowiązkowa. Polski ustawodawca nie skorzystał z możliwości ustanowienia urzędowych wykazów zatwierdzonych wykonawców. </w:t>
            </w:r>
          </w:p>
          <w:p w:rsidR="00025B8E" w:rsidRDefault="00C13F2C">
            <w:pPr>
              <w:spacing w:after="88" w:line="271" w:lineRule="auto"/>
            </w:pPr>
            <w:r>
              <w:rPr>
                <w:rFonts w:ascii="Arial" w:eastAsia="Arial" w:hAnsi="Arial" w:cs="Arial"/>
                <w:b/>
              </w:rPr>
              <w:t>Polscy wykonawcy w tej podsekcji zaznaczają opcję „Nie dotyczy” i pozostawiają dalszą część podsekcji niewypełnioną.</w:t>
            </w:r>
            <w:r>
              <w:rPr>
                <w:rFonts w:ascii="Arial" w:eastAsia="Arial" w:hAnsi="Arial" w:cs="Arial"/>
              </w:rPr>
              <w:t xml:space="preserve">  </w:t>
            </w:r>
          </w:p>
          <w:p w:rsidR="00025B8E" w:rsidRDefault="00C13F2C">
            <w:pPr>
              <w:spacing w:after="12" w:line="261" w:lineRule="auto"/>
            </w:pPr>
            <w:r>
              <w:rPr>
                <w:rFonts w:ascii="Arial" w:eastAsia="Arial" w:hAnsi="Arial" w:cs="Arial"/>
              </w:rPr>
              <w:t xml:space="preserve">Tego rodzaju wykazy istnieją natomiast w niektórych innych państwach członkowskich UE. Dla przykładu w Niemczech funkcjonuje urzędowy wykaz zatwierdzonych wykonawców robót budowlanych: </w:t>
            </w:r>
          </w:p>
          <w:p w:rsidR="00025B8E" w:rsidRDefault="00506297">
            <w:pPr>
              <w:spacing w:after="162" w:line="258" w:lineRule="auto"/>
            </w:pPr>
            <w:hyperlink r:id="rId18">
              <w:r w:rsidR="00C13F2C">
                <w:rPr>
                  <w:rFonts w:ascii="Arial" w:eastAsia="Arial" w:hAnsi="Arial" w:cs="Arial"/>
                  <w:color w:val="2E74B5"/>
                  <w:u w:val="single" w:color="2E74B5"/>
                </w:rPr>
                <w:t>http://www.pq</w:t>
              </w:r>
            </w:hyperlink>
            <w:hyperlink r:id="rId19">
              <w:r w:rsidR="00C13F2C">
                <w:rPr>
                  <w:rFonts w:ascii="Arial" w:eastAsia="Arial" w:hAnsi="Arial" w:cs="Arial"/>
                  <w:color w:val="2E74B5"/>
                  <w:u w:val="single" w:color="2E74B5"/>
                </w:rPr>
                <w:t>-</w:t>
              </w:r>
            </w:hyperlink>
            <w:hyperlink r:id="rId20">
              <w:r w:rsidR="00C13F2C">
                <w:rPr>
                  <w:rFonts w:ascii="Arial" w:eastAsia="Arial" w:hAnsi="Arial" w:cs="Arial"/>
                  <w:color w:val="2E74B5"/>
                  <w:u w:val="single" w:color="2E74B5"/>
                </w:rPr>
                <w:t>verein.de/</w:t>
              </w:r>
            </w:hyperlink>
            <w:hyperlink r:id="rId21">
              <w:r w:rsidR="00C13F2C">
                <w:rPr>
                  <w:rFonts w:ascii="Arial" w:eastAsia="Arial" w:hAnsi="Arial" w:cs="Arial"/>
                  <w:color w:val="2E74B5"/>
                </w:rPr>
                <w:t>,</w:t>
              </w:r>
            </w:hyperlink>
            <w:r w:rsidR="00C13F2C">
              <w:rPr>
                <w:rFonts w:ascii="Arial" w:eastAsia="Arial" w:hAnsi="Arial" w:cs="Arial"/>
                <w:color w:val="2E74B5"/>
              </w:rPr>
              <w:t xml:space="preserve"> </w:t>
            </w:r>
            <w:r w:rsidR="00C13F2C">
              <w:rPr>
                <w:rFonts w:ascii="Arial" w:eastAsia="Arial" w:hAnsi="Arial" w:cs="Arial"/>
              </w:rPr>
              <w:t xml:space="preserve">w Czechach zaś -  wykazy i certyfikacja dla wszystkich rodzajów zamówień </w:t>
            </w:r>
            <w:hyperlink r:id="rId22">
              <w:r w:rsidR="00C13F2C">
                <w:rPr>
                  <w:rFonts w:ascii="Arial" w:eastAsia="Arial" w:hAnsi="Arial" w:cs="Arial"/>
                  <w:color w:val="2E74B5"/>
                  <w:u w:val="single" w:color="2E74B5"/>
                </w:rPr>
                <w:t>http://www.isvz.cz/isvz/Podpora/ISVZ.aspx</w:t>
              </w:r>
            </w:hyperlink>
            <w:hyperlink r:id="rId23">
              <w:r w:rsidR="00C13F2C">
                <w:rPr>
                  <w:rFonts w:ascii="Arial" w:eastAsia="Arial" w:hAnsi="Arial" w:cs="Arial"/>
                  <w:color w:val="2E74B5"/>
                </w:rPr>
                <w:t xml:space="preserve"> </w:t>
              </w:r>
            </w:hyperlink>
          </w:p>
          <w:p w:rsidR="00025B8E" w:rsidRDefault="00C13F2C">
            <w:pPr>
              <w:ind w:right="15"/>
            </w:pPr>
            <w:r>
              <w:rPr>
                <w:rFonts w:ascii="Arial" w:eastAsia="Arial" w:hAnsi="Arial" w:cs="Arial"/>
              </w:rPr>
              <w:t xml:space="preserve">Jeżeli wykonawca (zagraniczny) jest wpisany w takim wykazie zaznacza odpowiedź „Tak” i wypełnia dalszą część formularza w rubryce poniżej. Zaznaczenie „Nie” wypełnia wykonawca, który do takiego wykazu nie został wpisany, nie wypełniając dalszej części formularza w rubryce poniżej. </w:t>
            </w:r>
          </w:p>
        </w:tc>
      </w:tr>
      <w:tr w:rsidR="00025B8E">
        <w:trPr>
          <w:trHeight w:val="2249"/>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spacing w:after="78"/>
              <w:ind w:left="2"/>
            </w:pPr>
            <w:r>
              <w:rPr>
                <w:b/>
              </w:rPr>
              <w:lastRenderedPageBreak/>
              <w:t>Jeżeli tak</w:t>
            </w:r>
            <w:r>
              <w:t>:</w:t>
            </w:r>
            <w:r>
              <w:rPr>
                <w:sz w:val="24"/>
              </w:rPr>
              <w:t xml:space="preserve"> </w:t>
            </w:r>
          </w:p>
          <w:p w:rsidR="00025B8E" w:rsidRDefault="00C13F2C">
            <w:pPr>
              <w:ind w:left="2" w:right="47"/>
              <w:jc w:val="both"/>
            </w:pPr>
            <w:r>
              <w:rPr>
                <w:b/>
              </w:rPr>
              <w:t xml:space="preserve">Proszę udzielić odpowiedzi w pozostałych fragmentach niniejszej sekcji, w sekcji B i, w odpowiednich przypadkach, sekcji C niniejszej części, uzupełnić część V (w stosownych przypadkach) oraz w każdym przypadku wypełnić i podpisać część VI. </w:t>
            </w:r>
            <w:r>
              <w:rPr>
                <w:b/>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19" w:line="239" w:lineRule="auto"/>
            </w:pPr>
            <w:r>
              <w:rPr>
                <w:rFonts w:ascii="Arial" w:eastAsia="Arial" w:hAnsi="Arial" w:cs="Arial"/>
              </w:rPr>
              <w:t xml:space="preserve">Wypełnia wykonawca z kraju, w którym funkcjonują urzędowe wykazy zatwierdzonych wykonawców i który jest wpisany do takiego wykazu. </w:t>
            </w:r>
          </w:p>
          <w:p w:rsidR="00025B8E" w:rsidRDefault="00C13F2C">
            <w:pPr>
              <w:spacing w:after="100"/>
            </w:pPr>
            <w:r>
              <w:rPr>
                <w:rFonts w:ascii="Arial" w:eastAsia="Arial" w:hAnsi="Arial" w:cs="Arial"/>
              </w:rPr>
              <w:t xml:space="preserve"> </w:t>
            </w:r>
          </w:p>
          <w:p w:rsidR="00025B8E" w:rsidRDefault="00C13F2C">
            <w:r>
              <w:rPr>
                <w:rFonts w:ascii="Arial" w:eastAsia="Arial" w:hAnsi="Arial" w:cs="Arial"/>
              </w:rPr>
              <w:t xml:space="preserve"> </w:t>
            </w:r>
          </w:p>
        </w:tc>
      </w:tr>
    </w:tbl>
    <w:p w:rsidR="00025B8E" w:rsidRDefault="00025B8E">
      <w:pPr>
        <w:spacing w:after="0"/>
        <w:ind w:left="-1406" w:right="66"/>
      </w:pPr>
    </w:p>
    <w:tbl>
      <w:tblPr>
        <w:tblStyle w:val="TableGrid"/>
        <w:tblW w:w="13937" w:type="dxa"/>
        <w:tblInd w:w="17" w:type="dxa"/>
        <w:tblCellMar>
          <w:top w:w="31" w:type="dxa"/>
          <w:left w:w="106" w:type="dxa"/>
          <w:right w:w="60" w:type="dxa"/>
        </w:tblCellMar>
        <w:tblLook w:val="04A0" w:firstRow="1" w:lastRow="0" w:firstColumn="1" w:lastColumn="0" w:noHBand="0" w:noVBand="1"/>
      </w:tblPr>
      <w:tblGrid>
        <w:gridCol w:w="4645"/>
        <w:gridCol w:w="4647"/>
        <w:gridCol w:w="4645"/>
      </w:tblGrid>
      <w:tr w:rsidR="00025B8E">
        <w:trPr>
          <w:trHeight w:val="8457"/>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numPr>
                <w:ilvl w:val="0"/>
                <w:numId w:val="9"/>
              </w:numPr>
              <w:spacing w:line="239" w:lineRule="auto"/>
            </w:pPr>
            <w:r>
              <w:lastRenderedPageBreak/>
              <w:t xml:space="preserve">Proszę podać nazwę wykazu lub zaświadczenia i odpowiedni numer rejestracyjny lub numer zaświadczenia, jeżeli dotyczy: </w:t>
            </w:r>
          </w:p>
          <w:p w:rsidR="00025B8E" w:rsidRDefault="00C13F2C">
            <w:pPr>
              <w:numPr>
                <w:ilvl w:val="0"/>
                <w:numId w:val="9"/>
              </w:numPr>
              <w:spacing w:after="1" w:line="238" w:lineRule="auto"/>
            </w:pPr>
            <w:r>
              <w:t xml:space="preserve">Jeżeli poświadczenie wpisu do wykazu lub wydania zaświadczenia jest dostępne w formie elektronicznej, proszę podać: </w:t>
            </w:r>
          </w:p>
          <w:p w:rsidR="00025B8E" w:rsidRDefault="00C13F2C">
            <w:pPr>
              <w:numPr>
                <w:ilvl w:val="0"/>
                <w:numId w:val="9"/>
              </w:numPr>
              <w:spacing w:after="13"/>
            </w:pPr>
            <w:r>
              <w:t>dane referencyjne stanowiące podstawę wpisu do wykazu lub wydania zaświadczenia oraz, w stosownych przypadkach, klasyfikację nadaną w urzędowym wykazie (</w:t>
            </w:r>
            <w:r>
              <w:rPr>
                <w:rFonts w:ascii="Arial" w:eastAsia="Arial" w:hAnsi="Arial" w:cs="Arial"/>
                <w:sz w:val="20"/>
                <w:vertAlign w:val="superscript"/>
              </w:rPr>
              <w:footnoteReference w:id="7"/>
            </w:r>
            <w:r>
              <w:t xml:space="preserve">): </w:t>
            </w:r>
          </w:p>
          <w:p w:rsidR="00025B8E" w:rsidRDefault="00C13F2C">
            <w:pPr>
              <w:numPr>
                <w:ilvl w:val="0"/>
                <w:numId w:val="9"/>
              </w:numPr>
              <w:spacing w:line="239" w:lineRule="auto"/>
            </w:pPr>
            <w:r>
              <w:t xml:space="preserve">Czy wpis do wykazu lub wydane zaświadczenie obejmują wszystkie wymagane kryteria kwalifikacji? </w:t>
            </w:r>
          </w:p>
          <w:p w:rsidR="00025B8E" w:rsidRDefault="00C13F2C">
            <w:pPr>
              <w:ind w:left="2"/>
            </w:pPr>
            <w:r>
              <w:rPr>
                <w:b/>
              </w:rPr>
              <w:t>Jeżeli nie:</w:t>
            </w:r>
            <w:r>
              <w:t xml:space="preserve"> </w:t>
            </w:r>
          </w:p>
          <w:p w:rsidR="00025B8E" w:rsidRDefault="00C13F2C">
            <w:pPr>
              <w:spacing w:after="1" w:line="238" w:lineRule="auto"/>
              <w:ind w:left="2"/>
            </w:pPr>
            <w:r>
              <w:rPr>
                <w:b/>
              </w:rPr>
              <w:t>Proszę dodatkowo uzupełnić brakujące informacje w części IV w sekcjach A, B, C lub D, w zależności od przypadku.</w:t>
            </w:r>
            <w:r>
              <w:t xml:space="preserve">  </w:t>
            </w:r>
          </w:p>
          <w:p w:rsidR="00025B8E" w:rsidRDefault="00C13F2C">
            <w:pPr>
              <w:ind w:left="2"/>
            </w:pPr>
            <w:r>
              <w:rPr>
                <w:b/>
              </w:rPr>
              <w:t xml:space="preserve">WYŁĄCZNIE jeżeli jest to wymagane w stosownym ogłoszeniu lub dokumentach zamówienia: </w:t>
            </w:r>
          </w:p>
          <w:p w:rsidR="00025B8E" w:rsidRDefault="00C13F2C">
            <w:pPr>
              <w:numPr>
                <w:ilvl w:val="0"/>
                <w:numId w:val="9"/>
              </w:numPr>
              <w:spacing w:line="239" w:lineRule="auto"/>
            </w:pPr>
            <w:r>
              <w:t xml:space="preserve">Czy wykonawca będzie w stanie przedstawić zaświadczenie odnoszące się do płatności składek na ubezpieczenie społeczne i podatków lub przedstawić informacje, które umożliwią instytucji zamawiającej lub podmiotowi zamawiającemu uzyskanie tego zaświadczenia bezpośrednio za pomocą bezpłatnej krajowej bazy danych w dowolnym państwie członkowskim? </w:t>
            </w:r>
          </w:p>
          <w:p w:rsidR="00025B8E" w:rsidRDefault="00C13F2C">
            <w:pPr>
              <w:ind w:left="2"/>
            </w:pPr>
            <w:r>
              <w:t xml:space="preserve">Jeżeli odnośna dokumentacja jest dostępna w formie elektronicznej, proszę wskazać: </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numPr>
                <w:ilvl w:val="0"/>
                <w:numId w:val="10"/>
              </w:numPr>
            </w:pPr>
            <w:r>
              <w:t xml:space="preserve">[……] </w:t>
            </w:r>
          </w:p>
          <w:p w:rsidR="00025B8E" w:rsidRDefault="00C13F2C">
            <w:pPr>
              <w:ind w:left="2"/>
            </w:pPr>
            <w:r>
              <w:t xml:space="preserve"> </w:t>
            </w:r>
          </w:p>
          <w:p w:rsidR="00025B8E" w:rsidRDefault="00C13F2C">
            <w:pPr>
              <w:spacing w:after="98"/>
              <w:ind w:left="2"/>
            </w:pPr>
            <w:r>
              <w:rPr>
                <w:i/>
              </w:rPr>
              <w:t xml:space="preserve"> </w:t>
            </w:r>
          </w:p>
          <w:p w:rsidR="00025B8E" w:rsidRDefault="00C13F2C">
            <w:pPr>
              <w:numPr>
                <w:ilvl w:val="0"/>
                <w:numId w:val="10"/>
              </w:numPr>
              <w:spacing w:line="239" w:lineRule="auto"/>
            </w:pPr>
            <w:r>
              <w:t xml:space="preserve">(adres internetowy, wydający urząd lub organ, dokładne dane referencyjne dokumentacji): </w:t>
            </w:r>
          </w:p>
          <w:p w:rsidR="00025B8E" w:rsidRDefault="00C13F2C">
            <w:pPr>
              <w:ind w:left="2"/>
            </w:pPr>
            <w:r>
              <w:t xml:space="preserve">[……][……][……][……] </w:t>
            </w:r>
          </w:p>
          <w:p w:rsidR="00025B8E" w:rsidRDefault="00C13F2C">
            <w:pPr>
              <w:spacing w:after="98"/>
              <w:ind w:left="2"/>
            </w:pPr>
            <w:r>
              <w:t xml:space="preserve"> </w:t>
            </w:r>
          </w:p>
          <w:p w:rsidR="00025B8E" w:rsidRDefault="00C13F2C">
            <w:pPr>
              <w:numPr>
                <w:ilvl w:val="0"/>
                <w:numId w:val="10"/>
              </w:numPr>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numPr>
                <w:ilvl w:val="0"/>
                <w:numId w:val="10"/>
              </w:numPr>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spacing w:after="98"/>
              <w:ind w:left="2"/>
            </w:pPr>
            <w:r>
              <w:t xml:space="preserve"> </w:t>
            </w:r>
          </w:p>
          <w:p w:rsidR="00025B8E" w:rsidRDefault="00C13F2C">
            <w:pPr>
              <w:numPr>
                <w:ilvl w:val="0"/>
                <w:numId w:val="10"/>
              </w:numPr>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(adres internetowy, wydający urząd lub organ, dokładne dane referencyjne dokumentacji): [……][……][……][……]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Każdorazowo, kiedy w formularzu </w:t>
            </w:r>
          </w:p>
          <w:p w:rsidR="00025B8E" w:rsidRDefault="00C13F2C">
            <w:pPr>
              <w:ind w:right="25"/>
            </w:pPr>
            <w:r>
              <w:rPr>
                <w:rFonts w:ascii="Arial" w:eastAsia="Arial" w:hAnsi="Arial" w:cs="Arial"/>
              </w:rPr>
              <w:t>Jednolitego Europejskiego Dokumentu Zamówienia mowa jest o dostępności  odpowiednich dokumentów lub zaświadczeń w formie elektronicznej, należy przez to rozumieć możliwość ich uzyskania za pomocą bezpłatnych i ogólnodostępnych  baz danych, w tym rejestrów publicznych</w:t>
            </w:r>
            <w:r>
              <w:rPr>
                <w:rFonts w:ascii="Arial" w:eastAsia="Arial" w:hAnsi="Arial" w:cs="Arial"/>
                <w:b/>
              </w:rPr>
              <w:t xml:space="preserve"> </w:t>
            </w:r>
            <w:r>
              <w:rPr>
                <w:rFonts w:ascii="Arial" w:eastAsia="Arial" w:hAnsi="Arial" w:cs="Arial"/>
              </w:rPr>
              <w:t xml:space="preserve">w rozumieniu ustawy z dnia 17 lutego 2005 r. o informatyzacji działalności podmiotów realizujących zadania publiczne. </w:t>
            </w:r>
            <w:r>
              <w:rPr>
                <w:rFonts w:ascii="Arial" w:eastAsia="Arial" w:hAnsi="Arial" w:cs="Arial"/>
                <w:b/>
              </w:rPr>
              <w:t xml:space="preserve"> </w:t>
            </w:r>
          </w:p>
        </w:tc>
      </w:tr>
      <w:tr w:rsidR="00025B8E">
        <w:trPr>
          <w:trHeight w:val="540"/>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b/>
              </w:rPr>
              <w:lastRenderedPageBreak/>
              <w:t xml:space="preserve">Rodzaj uczestnictwa: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1"/>
            </w:pPr>
            <w:r>
              <w:rPr>
                <w:b/>
              </w:rPr>
              <w:t>Odpowiedź:</w:t>
            </w:r>
            <w:r>
              <w:rPr>
                <w:b/>
                <w:sz w:val="24"/>
              </w:rPr>
              <w:t xml:space="preserve">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37" w:line="261" w:lineRule="auto"/>
              <w:ind w:left="1"/>
            </w:pPr>
            <w:r>
              <w:rPr>
                <w:rFonts w:ascii="Arial" w:eastAsia="Arial" w:hAnsi="Arial" w:cs="Arial"/>
              </w:rPr>
              <w:t xml:space="preserve">Każdy z wykonawców wspólnie ubiegających się o zamówienie wypełnia to pole w swoim formularzu, wskazując swoją rolę w grupie wykonawców wspólnie ubiegających się o zamówienie („konsorcjum”), nazwy pozostałych członków konsorcjum oraz ewentualną nazwę konsorcjum. </w:t>
            </w:r>
          </w:p>
          <w:p w:rsidR="00025B8E" w:rsidRDefault="00C13F2C">
            <w:pPr>
              <w:ind w:left="1"/>
            </w:pPr>
            <w:r>
              <w:rPr>
                <w:rFonts w:ascii="Arial" w:eastAsia="Arial" w:hAnsi="Arial" w:cs="Arial"/>
              </w:rPr>
              <w:t xml:space="preserve">Wykonawca samodzielnie ubiegający się o zamówienie zaznacza odpowiedź „Nie” i pozostawia pozostałą część tej podsekcji niewypełnioną. </w:t>
            </w:r>
          </w:p>
        </w:tc>
      </w:tr>
      <w:tr w:rsidR="00025B8E">
        <w:trPr>
          <w:trHeight w:val="1057"/>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right="47"/>
              <w:jc w:val="both"/>
            </w:pPr>
            <w:r>
              <w:t>Czy wykonawca bierze udział w postępowaniu o udzielenie zamówienia wspólnie z innymi wykonawcami (</w:t>
            </w:r>
            <w:r>
              <w:rPr>
                <w:rFonts w:ascii="Arial" w:eastAsia="Arial" w:hAnsi="Arial" w:cs="Arial"/>
                <w:sz w:val="20"/>
                <w:vertAlign w:val="superscript"/>
              </w:rPr>
              <w:footnoteReference w:id="8"/>
            </w:r>
            <w:r>
              <w:t>)?</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Tak [] Nie</w:t>
            </w:r>
            <w:r>
              <w:rPr>
                <w:sz w:val="24"/>
              </w:rP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785"/>
        </w:trPr>
        <w:tc>
          <w:tcPr>
            <w:tcW w:w="929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025B8E" w:rsidRDefault="00C13F2C">
            <w:pPr>
              <w:jc w:val="both"/>
            </w:pPr>
            <w:r>
              <w:t xml:space="preserve">Jeżeli tak, proszę dopilnować, aby pozostali uczestnicy przedstawili odrębne jednolite europejskie dokumenty zamówienia.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320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b/>
              </w:rPr>
              <w:t>Jeżeli tak</w:t>
            </w:r>
            <w:r>
              <w:t xml:space="preserve">: </w:t>
            </w:r>
          </w:p>
          <w:p w:rsidR="00025B8E" w:rsidRDefault="00C13F2C">
            <w:pPr>
              <w:spacing w:after="1" w:line="239" w:lineRule="auto"/>
            </w:pPr>
            <w:r>
              <w:t xml:space="preserve">a) Proszę wskazać rolę wykonawcy w grupie (lider, odpowiedzialny za określone zadania itd.): b) Proszę wskazać pozostałych wykonawców biorących wspólnie udział w postępowaniu o udzielenie zamówienia: </w:t>
            </w:r>
          </w:p>
          <w:p w:rsidR="00025B8E" w:rsidRDefault="00C13F2C">
            <w:r>
              <w:t>c) W stosownych przypadkach nazwa grupy biorącej udział:</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1"/>
            </w:pPr>
            <w:r>
              <w:t xml:space="preserve"> </w:t>
            </w:r>
          </w:p>
          <w:p w:rsidR="00025B8E" w:rsidRDefault="00C13F2C">
            <w:pPr>
              <w:ind w:left="1"/>
            </w:pPr>
            <w:r>
              <w:t xml:space="preserve">a): [……]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b): [……] </w:t>
            </w:r>
          </w:p>
          <w:p w:rsidR="00025B8E" w:rsidRDefault="00C13F2C">
            <w:pPr>
              <w:ind w:left="1"/>
            </w:pPr>
            <w:r>
              <w:t xml:space="preserve"> </w:t>
            </w:r>
          </w:p>
          <w:p w:rsidR="00025B8E" w:rsidRDefault="00C13F2C">
            <w:pPr>
              <w:ind w:left="1"/>
            </w:pPr>
            <w:r>
              <w:t xml:space="preserve"> </w:t>
            </w:r>
          </w:p>
          <w:p w:rsidR="00025B8E" w:rsidRDefault="00C13F2C">
            <w:pPr>
              <w:spacing w:after="98"/>
              <w:ind w:left="1"/>
            </w:pPr>
            <w:r>
              <w:t xml:space="preserve">c): [……] </w:t>
            </w:r>
          </w:p>
          <w:p w:rsidR="00025B8E" w:rsidRDefault="00C13F2C">
            <w:pPr>
              <w:spacing w:after="119"/>
              <w:ind w:left="1"/>
            </w:pPr>
            <w:r>
              <w:t xml:space="preserve"> </w:t>
            </w:r>
          </w:p>
          <w:p w:rsidR="00025B8E" w:rsidRDefault="00C13F2C">
            <w:pPr>
              <w:ind w:left="1"/>
            </w:pPr>
            <w:r>
              <w:rPr>
                <w:sz w:val="24"/>
              </w:rP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518"/>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b/>
              </w:rPr>
              <w:t>Części</w:t>
            </w:r>
            <w:r>
              <w:rPr>
                <w:b/>
                <w:sz w:val="24"/>
              </w:rPr>
              <w:t xml:space="preserve"> </w:t>
            </w:r>
          </w:p>
        </w:tc>
        <w:tc>
          <w:tcPr>
            <w:tcW w:w="4647" w:type="dxa"/>
            <w:tcBorders>
              <w:top w:val="single" w:sz="4" w:space="0" w:color="000000"/>
              <w:left w:val="single" w:sz="4" w:space="0" w:color="000000"/>
              <w:bottom w:val="single" w:sz="4" w:space="0" w:color="000000"/>
              <w:right w:val="single" w:sz="4" w:space="0" w:color="000000"/>
            </w:tcBorders>
            <w:vAlign w:val="center"/>
          </w:tcPr>
          <w:p w:rsidR="00025B8E" w:rsidRDefault="00C13F2C">
            <w:pPr>
              <w:ind w:left="1"/>
            </w:pPr>
            <w:r>
              <w:rPr>
                <w:b/>
              </w:rPr>
              <w:t>Odpowiedź:</w:t>
            </w:r>
            <w:r>
              <w:rPr>
                <w:b/>
                <w:sz w:val="24"/>
              </w:rPr>
              <w:t xml:space="preserve"> </w:t>
            </w:r>
          </w:p>
        </w:tc>
        <w:tc>
          <w:tcPr>
            <w:tcW w:w="4645" w:type="dxa"/>
            <w:vMerge w:val="restart"/>
            <w:tcBorders>
              <w:top w:val="single" w:sz="4" w:space="0" w:color="000000"/>
              <w:left w:val="single" w:sz="4" w:space="0" w:color="000000"/>
              <w:bottom w:val="nil"/>
              <w:right w:val="single" w:sz="4" w:space="0" w:color="000000"/>
            </w:tcBorders>
            <w:vAlign w:val="bottom"/>
          </w:tcPr>
          <w:p w:rsidR="00025B8E" w:rsidRDefault="00C13F2C">
            <w:pPr>
              <w:ind w:left="1"/>
            </w:pPr>
            <w:r>
              <w:rPr>
                <w:rFonts w:ascii="Arial" w:eastAsia="Arial" w:hAnsi="Arial" w:cs="Arial"/>
              </w:rPr>
              <w:t xml:space="preserve">Jeśli zamówienie udzielane jest z podziałem na części (dopuszczana jest możliwość </w:t>
            </w:r>
          </w:p>
        </w:tc>
      </w:tr>
      <w:tr w:rsidR="00025B8E">
        <w:trPr>
          <w:trHeight w:val="113"/>
        </w:trPr>
        <w:tc>
          <w:tcPr>
            <w:tcW w:w="4645" w:type="dxa"/>
            <w:tcBorders>
              <w:top w:val="single" w:sz="4" w:space="0" w:color="000000"/>
              <w:left w:val="single" w:sz="4" w:space="0" w:color="000000"/>
              <w:bottom w:val="nil"/>
              <w:right w:val="single" w:sz="4" w:space="0" w:color="000000"/>
            </w:tcBorders>
          </w:tcPr>
          <w:p w:rsidR="00025B8E" w:rsidRDefault="00025B8E"/>
        </w:tc>
        <w:tc>
          <w:tcPr>
            <w:tcW w:w="4647" w:type="dxa"/>
            <w:tcBorders>
              <w:top w:val="single" w:sz="4" w:space="0" w:color="000000"/>
              <w:left w:val="single" w:sz="4" w:space="0" w:color="000000"/>
              <w:bottom w:val="nil"/>
              <w:right w:val="single" w:sz="4" w:space="0" w:color="000000"/>
            </w:tcBorders>
          </w:tcPr>
          <w:p w:rsidR="00025B8E" w:rsidRDefault="00025B8E"/>
        </w:tc>
        <w:tc>
          <w:tcPr>
            <w:tcW w:w="0" w:type="auto"/>
            <w:vMerge/>
            <w:tcBorders>
              <w:top w:val="nil"/>
              <w:left w:val="single" w:sz="4" w:space="0" w:color="000000"/>
              <w:bottom w:val="nil"/>
              <w:right w:val="single" w:sz="4" w:space="0" w:color="000000"/>
            </w:tcBorders>
          </w:tcPr>
          <w:p w:rsidR="00025B8E" w:rsidRDefault="00025B8E"/>
        </w:tc>
      </w:tr>
      <w:tr w:rsidR="00025B8E">
        <w:trPr>
          <w:trHeight w:val="943"/>
        </w:trPr>
        <w:tc>
          <w:tcPr>
            <w:tcW w:w="4645" w:type="dxa"/>
            <w:tcBorders>
              <w:top w:val="nil"/>
              <w:left w:val="single" w:sz="4" w:space="0" w:color="000000"/>
              <w:bottom w:val="single" w:sz="4" w:space="0" w:color="000000"/>
              <w:right w:val="single" w:sz="4" w:space="0" w:color="000000"/>
            </w:tcBorders>
          </w:tcPr>
          <w:p w:rsidR="00025B8E" w:rsidRDefault="00C13F2C">
            <w:r>
              <w:t>W stosownych przypadkach wskazanie części zamówienia, w odniesieniu do której (których) wykonawca zamierza złożyć ofertę.</w:t>
            </w:r>
            <w:r>
              <w:rPr>
                <w:b/>
                <w:i/>
                <w:sz w:val="24"/>
              </w:rPr>
              <w:t xml:space="preserve"> </w:t>
            </w:r>
          </w:p>
        </w:tc>
        <w:tc>
          <w:tcPr>
            <w:tcW w:w="4647" w:type="dxa"/>
            <w:tcBorders>
              <w:top w:val="nil"/>
              <w:left w:val="single" w:sz="4" w:space="0" w:color="000000"/>
              <w:bottom w:val="single" w:sz="4" w:space="0" w:color="000000"/>
              <w:right w:val="single" w:sz="4" w:space="0" w:color="000000"/>
            </w:tcBorders>
          </w:tcPr>
          <w:p w:rsidR="00025B8E" w:rsidRDefault="00C13F2C">
            <w:pPr>
              <w:ind w:left="1"/>
            </w:pPr>
            <w:r>
              <w:t>[   ]</w:t>
            </w:r>
            <w:r>
              <w:rPr>
                <w:b/>
                <w:i/>
                <w:sz w:val="24"/>
              </w:rPr>
              <w:t xml:space="preserve"> </w:t>
            </w:r>
          </w:p>
        </w:tc>
        <w:tc>
          <w:tcPr>
            <w:tcW w:w="4645" w:type="dxa"/>
            <w:tcBorders>
              <w:top w:val="nil"/>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składania ofert częściowych), w tym polu należy wskazać część, o której udzielenie wykonawca się ubiega. </w:t>
            </w:r>
          </w:p>
        </w:tc>
      </w:tr>
    </w:tbl>
    <w:p w:rsidR="00025B8E" w:rsidRDefault="00C13F2C">
      <w:pPr>
        <w:spacing w:after="0"/>
        <w:ind w:left="12"/>
      </w:pPr>
      <w:r>
        <w:rPr>
          <w:rFonts w:ascii="Times New Roman" w:eastAsia="Times New Roman" w:hAnsi="Times New Roman" w:cs="Times New Roman"/>
          <w:b/>
        </w:rPr>
        <w:t xml:space="preserve"> </w:t>
      </w:r>
    </w:p>
    <w:p w:rsidR="00025B8E" w:rsidRDefault="00C13F2C">
      <w:pPr>
        <w:spacing w:after="99"/>
        <w:ind w:left="10" w:right="4201" w:hanging="10"/>
        <w:jc w:val="right"/>
      </w:pPr>
      <w:r>
        <w:rPr>
          <w:rFonts w:ascii="Times New Roman" w:eastAsia="Times New Roman" w:hAnsi="Times New Roman" w:cs="Times New Roman"/>
          <w:b/>
        </w:rPr>
        <w:t>B:</w:t>
      </w:r>
      <w:r>
        <w:rPr>
          <w:rFonts w:ascii="Times New Roman" w:eastAsia="Times New Roman" w:hAnsi="Times New Roman" w:cs="Times New Roman"/>
          <w:b/>
          <w:sz w:val="18"/>
        </w:rPr>
        <w:t xml:space="preserve"> </w:t>
      </w:r>
      <w:r>
        <w:rPr>
          <w:rFonts w:ascii="Times New Roman" w:eastAsia="Times New Roman" w:hAnsi="Times New Roman" w:cs="Times New Roman"/>
          <w:b/>
        </w:rPr>
        <w:t>I</w:t>
      </w:r>
      <w:r>
        <w:rPr>
          <w:rFonts w:ascii="Times New Roman" w:eastAsia="Times New Roman" w:hAnsi="Times New Roman" w:cs="Times New Roman"/>
          <w:b/>
          <w:sz w:val="18"/>
        </w:rPr>
        <w:t>NFORMACJE NA TEMAT PRZEDSTAWICIELI WYKONAWCY</w:t>
      </w:r>
      <w:r>
        <w:rPr>
          <w:rFonts w:ascii="Times New Roman" w:eastAsia="Times New Roman" w:hAnsi="Times New Roman" w:cs="Times New Roman"/>
          <w:b/>
        </w:rPr>
        <w:t xml:space="preserve"> </w:t>
      </w:r>
    </w:p>
    <w:tbl>
      <w:tblPr>
        <w:tblStyle w:val="TableGrid"/>
        <w:tblW w:w="13937" w:type="dxa"/>
        <w:tblInd w:w="17" w:type="dxa"/>
        <w:tblCellMar>
          <w:top w:w="9" w:type="dxa"/>
          <w:left w:w="106" w:type="dxa"/>
          <w:right w:w="53" w:type="dxa"/>
        </w:tblCellMar>
        <w:tblLook w:val="04A0" w:firstRow="1" w:lastRow="0" w:firstColumn="1" w:lastColumn="0" w:noHBand="0" w:noVBand="1"/>
      </w:tblPr>
      <w:tblGrid>
        <w:gridCol w:w="4645"/>
        <w:gridCol w:w="4647"/>
        <w:gridCol w:w="4645"/>
      </w:tblGrid>
      <w:tr w:rsidR="00025B8E">
        <w:trPr>
          <w:trHeight w:val="914"/>
        </w:trPr>
        <w:tc>
          <w:tcPr>
            <w:tcW w:w="9292" w:type="dxa"/>
            <w:gridSpan w:val="2"/>
            <w:tcBorders>
              <w:top w:val="single" w:sz="4" w:space="0" w:color="000000"/>
              <w:left w:val="single" w:sz="4" w:space="0" w:color="000000"/>
              <w:bottom w:val="single" w:sz="4" w:space="0" w:color="000000"/>
              <w:right w:val="single" w:sz="4" w:space="0" w:color="000000"/>
            </w:tcBorders>
          </w:tcPr>
          <w:p w:rsidR="00025B8E" w:rsidRDefault="00C13F2C">
            <w:pPr>
              <w:ind w:left="2"/>
            </w:pPr>
            <w:r>
              <w:rPr>
                <w:rFonts w:ascii="Arial" w:eastAsia="Arial" w:hAnsi="Arial" w:cs="Arial"/>
                <w:i/>
                <w:sz w:val="20"/>
              </w:rPr>
              <w:lastRenderedPageBreak/>
              <w:t>W stosownych przypadkach proszę podać imię i nazwisko (imiona i nazwiska) oraz adres(-y) osoby (osób) upoważnionej(-ych) do reprezentowania wykonawcy na potrzeby niniejszego postępowania o udzielenie zamówienia:</w:t>
            </w:r>
            <w:r>
              <w:rPr>
                <w:i/>
              </w:rP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 </w:t>
            </w:r>
          </w:p>
        </w:tc>
      </w:tr>
      <w:tr w:rsidR="00025B8E">
        <w:trPr>
          <w:trHeight w:val="75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Osoby upoważnione do reprezentowania, o ile istnieją: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Odpowiedź: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45" w:line="273" w:lineRule="auto"/>
            </w:pPr>
            <w:r>
              <w:rPr>
                <w:rFonts w:ascii="Arial" w:eastAsia="Arial" w:hAnsi="Arial" w:cs="Arial"/>
              </w:rPr>
              <w:t xml:space="preserve">W tej sekcji należy podać imiona i nazwiska oraz adresy osób upoważnionych do reprezentowania wykonawcy na potrzeby postępowania o udzielenie zamówienia, jak również zakres udzielonych pełnomocnictw.  </w:t>
            </w:r>
          </w:p>
          <w:p w:rsidR="00025B8E" w:rsidRDefault="00C13F2C">
            <w:pPr>
              <w:spacing w:after="149" w:line="270" w:lineRule="auto"/>
            </w:pPr>
            <w:r>
              <w:rPr>
                <w:rFonts w:ascii="Arial" w:eastAsia="Arial" w:hAnsi="Arial" w:cs="Arial"/>
              </w:rPr>
              <w:t xml:space="preserve">Użyte w formularzu określenie „przedstawicielstwo” należy rozumieć szeroko, jako przedstawicielstwo czy pełnomocnictwo w rozumieniu KC. </w:t>
            </w:r>
          </w:p>
          <w:p w:rsidR="00025B8E" w:rsidRDefault="00C13F2C">
            <w:pPr>
              <w:spacing w:after="41" w:line="256" w:lineRule="auto"/>
            </w:pPr>
            <w:r>
              <w:rPr>
                <w:rFonts w:ascii="Arial" w:eastAsia="Arial" w:hAnsi="Arial" w:cs="Arial"/>
              </w:rPr>
              <w:t xml:space="preserve">W przypadku szczegółowego określenia w tej rubryce zakresu udzielonego </w:t>
            </w:r>
          </w:p>
          <w:p w:rsidR="00025B8E" w:rsidRDefault="00C13F2C">
            <w:r>
              <w:rPr>
                <w:rFonts w:ascii="Arial" w:eastAsia="Arial" w:hAnsi="Arial" w:cs="Arial"/>
              </w:rPr>
              <w:t xml:space="preserve">pełnomocnictwa i złożenia w tym zakresie oświadczenia woli w treści JEDZ a także prawidłowego (zgodnie z zasadami reprezentacji) podpisania dokumentu JEDZ, nie jest konieczne tworzenie i dołączanie do oferty lub wniosku o dopuszczenie do udziału w postępowaniu odrębnego dokumentu pełnomocnictwa. Jeżeli dane zawarte w tej pozycji mają jedynie walor informacyjny, a pełnomocnictwo zostało udzielone odrębnie, pełnomocnictwo powinno zostać załączone do oferty lub wniosku o dopuszczenie do udziału w postępowaniu.  </w:t>
            </w:r>
          </w:p>
        </w:tc>
      </w:tr>
      <w:tr w:rsidR="00025B8E">
        <w:trPr>
          <w:trHeight w:val="1040"/>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Imię i nazwisko,  </w:t>
            </w:r>
          </w:p>
          <w:p w:rsidR="00025B8E" w:rsidRDefault="00C13F2C">
            <w:pPr>
              <w:ind w:left="2"/>
            </w:pPr>
            <w:r>
              <w:t xml:space="preserve">wraz z datą i miejscem urodzenia, jeżeli są wymagane: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5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Stanowisko/Działający(-a) jako: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6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Adres pocztowy: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6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Telefon: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5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Adres e-mail: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3416"/>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W razie potrzeby proszę podać szczegółowe informacje dotyczące przedstawicielstwa (jego form, zakresu, celu itd.):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single" w:sz="4" w:space="0" w:color="000000"/>
              <w:right w:val="single" w:sz="4" w:space="0" w:color="000000"/>
            </w:tcBorders>
            <w:vAlign w:val="bottom"/>
          </w:tcPr>
          <w:p w:rsidR="00025B8E" w:rsidRDefault="00025B8E"/>
        </w:tc>
      </w:tr>
    </w:tbl>
    <w:p w:rsidR="00025B8E" w:rsidRDefault="00C13F2C">
      <w:pPr>
        <w:spacing w:after="0"/>
        <w:ind w:left="12"/>
      </w:pPr>
      <w:r>
        <w:t xml:space="preserve"> </w:t>
      </w:r>
      <w:r>
        <w:tab/>
      </w:r>
      <w:r>
        <w:rPr>
          <w:rFonts w:ascii="Times New Roman" w:eastAsia="Times New Roman" w:hAnsi="Times New Roman" w:cs="Times New Roman"/>
          <w:b/>
        </w:rPr>
        <w:t xml:space="preserve"> </w:t>
      </w:r>
    </w:p>
    <w:p w:rsidR="00025B8E" w:rsidRDefault="00C13F2C">
      <w:pPr>
        <w:pStyle w:val="Nagwek1"/>
        <w:ind w:left="3469"/>
      </w:pPr>
      <w:r>
        <w:rPr>
          <w:sz w:val="22"/>
        </w:rPr>
        <w:lastRenderedPageBreak/>
        <w:t>C:</w:t>
      </w:r>
      <w:r>
        <w:t xml:space="preserve"> </w:t>
      </w:r>
      <w:r>
        <w:rPr>
          <w:sz w:val="22"/>
        </w:rPr>
        <w:t>I</w:t>
      </w:r>
      <w:r>
        <w:t>NFORMACJE NA TEMAT POLEGANIA NA ZDOLNOŚCI INNYCH PODMIOTÓW</w:t>
      </w:r>
      <w:r>
        <w:rPr>
          <w:sz w:val="22"/>
        </w:rPr>
        <w:t xml:space="preserve"> </w:t>
      </w:r>
    </w:p>
    <w:tbl>
      <w:tblPr>
        <w:tblStyle w:val="TableGrid"/>
        <w:tblW w:w="13937" w:type="dxa"/>
        <w:tblInd w:w="17" w:type="dxa"/>
        <w:tblCellMar>
          <w:top w:w="9" w:type="dxa"/>
          <w:left w:w="106" w:type="dxa"/>
          <w:right w:w="88" w:type="dxa"/>
        </w:tblCellMar>
        <w:tblLook w:val="04A0" w:firstRow="1" w:lastRow="0" w:firstColumn="1" w:lastColumn="0" w:noHBand="0" w:noVBand="1"/>
      </w:tblPr>
      <w:tblGrid>
        <w:gridCol w:w="4645"/>
        <w:gridCol w:w="4647"/>
        <w:gridCol w:w="4645"/>
      </w:tblGrid>
      <w:tr w:rsidR="00025B8E">
        <w:trPr>
          <w:trHeight w:val="46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Zależność od innych podmiotów: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Odpowiedź: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85" w:line="267" w:lineRule="auto"/>
              <w:ind w:right="8"/>
            </w:pPr>
            <w:r>
              <w:rPr>
                <w:rFonts w:ascii="Arial" w:eastAsia="Arial" w:hAnsi="Arial" w:cs="Arial"/>
              </w:rPr>
              <w:t xml:space="preserve">Na mocy art. 22a ust. 1  ustawy Pzp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t>
            </w:r>
          </w:p>
          <w:p w:rsidR="00025B8E" w:rsidRDefault="00C13F2C">
            <w:pPr>
              <w:spacing w:after="146" w:line="271" w:lineRule="auto"/>
            </w:pPr>
            <w:r>
              <w:rPr>
                <w:rFonts w:ascii="Arial" w:eastAsia="Arial" w:hAnsi="Arial" w:cs="Arial"/>
              </w:rPr>
              <w:t xml:space="preserve">Jednocześnie, brzmienie art. 25a ust. 3 Pzp wskazuje na możliwość polegania na zasobach podmiotów trzecich również w celu potwierdzenia spełniania kryteriów selekcji.  </w:t>
            </w:r>
          </w:p>
          <w:p w:rsidR="00025B8E" w:rsidRDefault="00C13F2C">
            <w:pPr>
              <w:spacing w:after="7" w:line="286" w:lineRule="auto"/>
            </w:pPr>
            <w:r>
              <w:rPr>
                <w:rFonts w:ascii="Arial" w:eastAsia="Arial" w:hAnsi="Arial" w:cs="Arial"/>
              </w:rPr>
              <w:t xml:space="preserve">Jeżeli wykonawca polega na zdolności innych podmiotów w celu wykazania spełniania warunków udziału w </w:t>
            </w:r>
          </w:p>
          <w:p w:rsidR="00025B8E" w:rsidRDefault="00C13F2C">
            <w:pPr>
              <w:spacing w:line="278" w:lineRule="auto"/>
            </w:pPr>
            <w:r>
              <w:rPr>
                <w:rFonts w:ascii="Arial" w:eastAsia="Arial" w:hAnsi="Arial" w:cs="Arial"/>
              </w:rPr>
              <w:t xml:space="preserve">postępowaniu lub kryteriów selekcji, w myśl art. 25a ust. 3  ustawy Pzp ma obowiązek przedstawić – dla każdego z podmiotów, których to dotyczy – </w:t>
            </w:r>
            <w:r>
              <w:rPr>
                <w:rFonts w:ascii="Arial" w:eastAsia="Arial" w:hAnsi="Arial" w:cs="Arial"/>
                <w:b/>
              </w:rPr>
              <w:t>odrębny formularz</w:t>
            </w:r>
            <w:r>
              <w:rPr>
                <w:rFonts w:ascii="Arial" w:eastAsia="Arial" w:hAnsi="Arial" w:cs="Arial"/>
              </w:rPr>
              <w:t xml:space="preserve"> jednolitego dokumentu zawierający informacje wymagane w części II sekcje A </w:t>
            </w:r>
          </w:p>
          <w:p w:rsidR="00025B8E" w:rsidRDefault="00C13F2C">
            <w:r>
              <w:rPr>
                <w:rFonts w:ascii="Arial" w:eastAsia="Arial" w:hAnsi="Arial" w:cs="Arial"/>
              </w:rPr>
              <w:t xml:space="preserve">(informacje na temat wykonawcy) i B (informacje na temat przedstawicieli wykonawcy), w części III (podstawy wykluczenia) oraz w - zakresie w jakim korzysta z zasobów podmiotu trzeciego  -  w </w:t>
            </w:r>
          </w:p>
        </w:tc>
      </w:tr>
      <w:tr w:rsidR="00025B8E">
        <w:trPr>
          <w:trHeight w:val="7790"/>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Czy wykonawca polega na zdolności innych podmiotów w celu spełnienia kryteriów kwalifikacji określonych poniżej w części IV oraz (ewentualnych) kryteriów i zasad określonych poniżej w części V?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66"/>
      </w:pPr>
    </w:p>
    <w:tbl>
      <w:tblPr>
        <w:tblStyle w:val="TableGrid"/>
        <w:tblW w:w="13937" w:type="dxa"/>
        <w:tblInd w:w="17" w:type="dxa"/>
        <w:tblCellMar>
          <w:top w:w="44" w:type="dxa"/>
          <w:left w:w="106" w:type="dxa"/>
          <w:right w:w="54" w:type="dxa"/>
        </w:tblCellMar>
        <w:tblLook w:val="04A0" w:firstRow="1" w:lastRow="0" w:firstColumn="1" w:lastColumn="0" w:noHBand="0" w:noVBand="1"/>
      </w:tblPr>
      <w:tblGrid>
        <w:gridCol w:w="4645"/>
        <w:gridCol w:w="4647"/>
        <w:gridCol w:w="4645"/>
      </w:tblGrid>
      <w:tr w:rsidR="00025B8E">
        <w:trPr>
          <w:trHeight w:val="8248"/>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90" w:line="267" w:lineRule="auto"/>
            </w:pPr>
            <w:r>
              <w:rPr>
                <w:rFonts w:ascii="Arial" w:eastAsia="Arial" w:hAnsi="Arial" w:cs="Arial"/>
              </w:rPr>
              <w:t xml:space="preserve">części IV (kryteria kwalifikacji) i części V (kryteria selekcji). Takie formularze powinny być wypełnione i podpisane przez te podmioty.  </w:t>
            </w:r>
          </w:p>
          <w:p w:rsidR="00025B8E" w:rsidRDefault="00C13F2C">
            <w:pPr>
              <w:spacing w:after="177" w:line="267" w:lineRule="auto"/>
            </w:pPr>
            <w:r>
              <w:rPr>
                <w:rFonts w:ascii="Arial" w:eastAsia="Arial" w:hAnsi="Arial" w:cs="Arial"/>
              </w:rPr>
              <w:t xml:space="preserve">Powyższe dotyczy również wszystkich pracowników technicznych lub służb technicznych, czyli zasobów osobowych nienależących bezpośrednio do przedsiębiorstwa danego wykonawcy. </w:t>
            </w:r>
          </w:p>
          <w:p w:rsidR="00025B8E" w:rsidRDefault="00C13F2C">
            <w:pPr>
              <w:spacing w:line="264" w:lineRule="auto"/>
              <w:ind w:right="28"/>
            </w:pPr>
            <w:r>
              <w:rPr>
                <w:rFonts w:ascii="Arial" w:eastAsia="Arial" w:hAnsi="Arial" w:cs="Arial"/>
              </w:rPr>
              <w:t xml:space="preserve">Nie dotyczy to jednak zasobów osobowych, którymi wykonawca dysponuje w sposób bezpośredni, tj. przypadków zaangażowania przez wykonawcę na podstawie różnych stosunków prawnych osoby fizycznej, niezależnie od tego, czy prowadzi działalność gospodarczą przy pomocy przedsiębiorstwa (zakładu pracy), czy też świadczącej usługę na podstawie m.in. umowy zlecenia, jeżeli osoba ta będzie wykonywała wyłącznie osobiście, uzgodnione z wykonawcą czynności związane z realizacją zamówienia publicznego, np. pełniła funkcję kierownika budowy. W takim bowiem przypadku mamy </w:t>
            </w:r>
          </w:p>
          <w:p w:rsidR="00025B8E" w:rsidRDefault="00C13F2C">
            <w:r>
              <w:rPr>
                <w:rFonts w:ascii="Arial" w:eastAsia="Arial" w:hAnsi="Arial" w:cs="Arial"/>
              </w:rPr>
              <w:t xml:space="preserve">do czynienia z bezpośrednim </w:t>
            </w:r>
          </w:p>
          <w:p w:rsidR="00025B8E" w:rsidRDefault="00C13F2C">
            <w:r>
              <w:rPr>
                <w:rFonts w:ascii="Arial" w:eastAsia="Arial" w:hAnsi="Arial" w:cs="Arial"/>
              </w:rPr>
              <w:t xml:space="preserve">dysponowaniem osobą zdolną do wykonania zamówienia, a nie powołaniem się na zasoby podmiotu trzeciego. O tej kwalifikacji rozstrzyga treść stosunku prawnego </w:t>
            </w:r>
          </w:p>
        </w:tc>
      </w:tr>
      <w:tr w:rsidR="00025B8E">
        <w:trPr>
          <w:trHeight w:val="2534"/>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68" w:line="245" w:lineRule="auto"/>
              <w:ind w:left="1"/>
            </w:pPr>
            <w:r>
              <w:rPr>
                <w:rFonts w:ascii="Arial" w:eastAsia="Arial" w:hAnsi="Arial" w:cs="Arial"/>
              </w:rPr>
              <w:t>istniejącego pomiędzy wykonawcą a taką osobą.</w:t>
            </w:r>
            <w:r>
              <w:rPr>
                <w:rFonts w:ascii="Segoe UI Symbol" w:eastAsia="Segoe UI Symbol" w:hAnsi="Segoe UI Symbol" w:cs="Segoe UI Symbol"/>
                <w:vertAlign w:val="superscript"/>
              </w:rPr>
              <w:t></w:t>
            </w:r>
            <w:r>
              <w:rPr>
                <w:rFonts w:ascii="Arial" w:eastAsia="Arial" w:hAnsi="Arial" w:cs="Arial"/>
              </w:rPr>
              <w:t xml:space="preserve"> </w:t>
            </w:r>
          </w:p>
          <w:p w:rsidR="00025B8E" w:rsidRDefault="00C13F2C">
            <w:pPr>
              <w:ind w:left="1"/>
            </w:pPr>
            <w:r>
              <w:rPr>
                <w:rFonts w:ascii="Arial" w:eastAsia="Arial" w:hAnsi="Arial" w:cs="Arial"/>
              </w:rPr>
              <w:t xml:space="preserve">O ile ma to znaczenie dla określonych zdolności, na których polega wykonawca, należy dołączyć – dla każdego z podmiotów, których to dotyczy  – informacje wymagane w częściach IV (kryteria kalifikacji) i V (kryteria selekcji).  </w:t>
            </w:r>
          </w:p>
        </w:tc>
      </w:tr>
      <w:tr w:rsidR="00025B8E">
        <w:trPr>
          <w:trHeight w:val="3096"/>
        </w:trPr>
        <w:tc>
          <w:tcPr>
            <w:tcW w:w="9292"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spacing w:after="162" w:line="258" w:lineRule="auto"/>
              <w:ind w:right="52"/>
              <w:jc w:val="both"/>
            </w:pPr>
            <w:r>
              <w:rPr>
                <w:b/>
              </w:rPr>
              <w:t>Jeżeli tak</w:t>
            </w:r>
            <w:r>
              <w:t xml:space="preserve">, proszę przedstawić – </w:t>
            </w:r>
            <w:r>
              <w:rPr>
                <w:b/>
              </w:rPr>
              <w:t>dla każdego</w:t>
            </w:r>
            <w:r>
              <w:t xml:space="preserve"> z podmiotów, których to dotyczy – odrębny formularz jednolitego europejskiego dokumentu zamówienia zawierający informacje wymagane w </w:t>
            </w:r>
            <w:r>
              <w:rPr>
                <w:b/>
              </w:rPr>
              <w:t>niniejszej części sekcja A i B oraz w części III</w:t>
            </w:r>
            <w:r>
              <w:t xml:space="preserve">, należycie wypełniony i podpisany przez dane podmioty. </w:t>
            </w:r>
          </w:p>
          <w:p w:rsidR="00025B8E" w:rsidRDefault="00C13F2C">
            <w:pPr>
              <w:spacing w:after="162" w:line="258" w:lineRule="auto"/>
              <w:ind w:right="52"/>
              <w:jc w:val="both"/>
            </w:pPr>
            <w:r>
              <w:t xml:space="preserve">Należy zauważyć, że dotyczy to również wszystkich pracowników technicznych lub służb technicznych, nienależących bezpośrednio do przedsiębiorstwa danego wykonawcy, w szczególności tych odpowiedzialnych za kontrolę jakości, a w przypadku zamówień publicznych na roboty budowlane – tych, do których wykonawca będzie mógł się zwrócić o wykonanie robót budowlanych. </w:t>
            </w:r>
          </w:p>
          <w:p w:rsidR="00025B8E" w:rsidRDefault="00C13F2C">
            <w:pPr>
              <w:jc w:val="both"/>
            </w:pPr>
            <w:r>
              <w:t>O ile ma to znaczenie dla określonych zdolności, na których polega wykonawca, proszę dołączyć – dla każdego z podmiotów, których to dotyczy – informacje wymagane w częściach IV i V (</w:t>
            </w:r>
            <w:r>
              <w:rPr>
                <w:vertAlign w:val="superscript"/>
              </w:rPr>
              <w:t>12</w:t>
            </w: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tc>
      </w:tr>
    </w:tbl>
    <w:p w:rsidR="00025B8E" w:rsidRDefault="00C13F2C">
      <w:pPr>
        <w:spacing w:after="350"/>
        <w:ind w:left="64"/>
        <w:jc w:val="center"/>
      </w:pPr>
      <w:r>
        <w:rPr>
          <w:rFonts w:ascii="Times New Roman" w:eastAsia="Times New Roman" w:hAnsi="Times New Roman" w:cs="Times New Roman"/>
          <w:b/>
        </w:rPr>
        <w:t xml:space="preserve"> </w:t>
      </w:r>
    </w:p>
    <w:p w:rsidR="00025B8E" w:rsidRDefault="00C13F2C">
      <w:pPr>
        <w:spacing w:after="1511"/>
        <w:ind w:left="12"/>
      </w:pPr>
      <w:r>
        <w:t xml:space="preserve"> </w:t>
      </w:r>
      <w:r>
        <w:tab/>
      </w:r>
      <w:r>
        <w:rPr>
          <w:rFonts w:ascii="Times New Roman" w:eastAsia="Times New Roman" w:hAnsi="Times New Roman" w:cs="Times New Roman"/>
          <w:b/>
        </w:rPr>
        <w:t xml:space="preserve"> </w:t>
      </w:r>
    </w:p>
    <w:p w:rsidR="00025B8E" w:rsidRDefault="00C13F2C">
      <w:pPr>
        <w:spacing w:after="0"/>
        <w:ind w:left="12"/>
      </w:pPr>
      <w:r>
        <w:rPr>
          <w:strike/>
        </w:rPr>
        <w:t xml:space="preserve">                                                         </w:t>
      </w:r>
      <w:r>
        <w:t xml:space="preserve"> </w:t>
      </w:r>
    </w:p>
    <w:p w:rsidR="00025B8E" w:rsidRDefault="00C13F2C">
      <w:pPr>
        <w:spacing w:after="20" w:line="216" w:lineRule="auto"/>
        <w:ind w:left="96" w:right="-11" w:hanging="99"/>
      </w:pPr>
      <w:r>
        <w:rPr>
          <w:rFonts w:ascii="Segoe UI Symbol" w:eastAsia="Segoe UI Symbol" w:hAnsi="Segoe UI Symbol" w:cs="Segoe UI Symbol"/>
          <w:sz w:val="13"/>
        </w:rPr>
        <w:t xml:space="preserve"> </w:t>
      </w:r>
      <w:r>
        <w:rPr>
          <w:sz w:val="16"/>
        </w:rPr>
        <w:t xml:space="preserve"> </w:t>
      </w:r>
      <w:r>
        <w:rPr>
          <w:sz w:val="16"/>
        </w:rPr>
        <w:tab/>
        <w:t xml:space="preserve">zob. </w:t>
      </w:r>
      <w:r>
        <w:rPr>
          <w:sz w:val="16"/>
        </w:rPr>
        <w:tab/>
      </w:r>
      <w:hyperlink r:id="rId24">
        <w:r>
          <w:rPr>
            <w:color w:val="0563C1"/>
            <w:sz w:val="16"/>
            <w:u w:val="single" w:color="0563C1"/>
          </w:rPr>
          <w:t>https://www.uzp.gov.pl/baza</w:t>
        </w:r>
      </w:hyperlink>
      <w:hyperlink r:id="rId25">
        <w:r>
          <w:rPr>
            <w:color w:val="0563C1"/>
            <w:sz w:val="16"/>
            <w:u w:val="single" w:color="0563C1"/>
          </w:rPr>
          <w:t>-</w:t>
        </w:r>
      </w:hyperlink>
      <w:hyperlink r:id="rId26">
        <w:r>
          <w:rPr>
            <w:color w:val="0563C1"/>
            <w:sz w:val="16"/>
            <w:u w:val="single" w:color="0563C1"/>
          </w:rPr>
          <w:t>wiedzy/interpretacja</w:t>
        </w:r>
      </w:hyperlink>
      <w:hyperlink r:id="rId27">
        <w:r>
          <w:rPr>
            <w:color w:val="0563C1"/>
            <w:sz w:val="16"/>
            <w:u w:val="single" w:color="0563C1"/>
          </w:rPr>
          <w:t>-</w:t>
        </w:r>
      </w:hyperlink>
      <w:hyperlink r:id="rId28">
        <w:r>
          <w:rPr>
            <w:color w:val="0563C1"/>
            <w:sz w:val="16"/>
            <w:u w:val="single" w:color="0563C1"/>
          </w:rPr>
          <w:t>przepisow/opinie</w:t>
        </w:r>
      </w:hyperlink>
      <w:hyperlink r:id="rId29">
        <w:r>
          <w:rPr>
            <w:color w:val="0563C1"/>
            <w:sz w:val="16"/>
            <w:u w:val="single" w:color="0563C1"/>
          </w:rPr>
          <w:t>-</w:t>
        </w:r>
      </w:hyperlink>
      <w:hyperlink r:id="rId30">
        <w:r>
          <w:rPr>
            <w:color w:val="0563C1"/>
            <w:sz w:val="16"/>
            <w:u w:val="single" w:color="0563C1"/>
          </w:rPr>
          <w:t>dotyczace</w:t>
        </w:r>
      </w:hyperlink>
      <w:hyperlink r:id="rId31">
        <w:r>
          <w:rPr>
            <w:color w:val="0563C1"/>
            <w:sz w:val="16"/>
            <w:u w:val="single" w:color="0563C1"/>
          </w:rPr>
          <w:t>-</w:t>
        </w:r>
      </w:hyperlink>
      <w:hyperlink r:id="rId32">
        <w:r>
          <w:rPr>
            <w:color w:val="0563C1"/>
            <w:sz w:val="16"/>
            <w:u w:val="single" w:color="0563C1"/>
          </w:rPr>
          <w:t>ustawy</w:t>
        </w:r>
      </w:hyperlink>
      <w:hyperlink r:id="rId33">
        <w:r>
          <w:rPr>
            <w:color w:val="0563C1"/>
            <w:sz w:val="16"/>
            <w:u w:val="single" w:color="0563C1"/>
          </w:rPr>
          <w:t>-</w:t>
        </w:r>
      </w:hyperlink>
      <w:hyperlink r:id="rId34">
        <w:r>
          <w:rPr>
            <w:color w:val="0563C1"/>
            <w:sz w:val="16"/>
            <w:u w:val="single" w:color="0563C1"/>
          </w:rPr>
          <w:t>pzp/warunki</w:t>
        </w:r>
      </w:hyperlink>
      <w:hyperlink r:id="rId35">
        <w:r>
          <w:rPr>
            <w:color w:val="0563C1"/>
            <w:sz w:val="16"/>
            <w:u w:val="single" w:color="0563C1"/>
          </w:rPr>
          <w:t>-</w:t>
        </w:r>
      </w:hyperlink>
      <w:hyperlink r:id="rId36">
        <w:r>
          <w:rPr>
            <w:color w:val="0563C1"/>
            <w:sz w:val="16"/>
            <w:u w:val="single" w:color="0563C1"/>
          </w:rPr>
          <w:t>udzialu</w:t>
        </w:r>
      </w:hyperlink>
      <w:hyperlink r:id="rId37">
        <w:r>
          <w:rPr>
            <w:color w:val="0563C1"/>
            <w:sz w:val="16"/>
            <w:u w:val="single" w:color="0563C1"/>
          </w:rPr>
          <w:t>-</w:t>
        </w:r>
      </w:hyperlink>
      <w:hyperlink r:id="rId38">
        <w:r>
          <w:rPr>
            <w:color w:val="0563C1"/>
            <w:sz w:val="16"/>
            <w:u w:val="single" w:color="0563C1"/>
          </w:rPr>
          <w:t>w</w:t>
        </w:r>
      </w:hyperlink>
      <w:hyperlink r:id="rId39">
        <w:r>
          <w:rPr>
            <w:color w:val="0563C1"/>
            <w:sz w:val="16"/>
            <w:u w:val="single" w:color="0563C1"/>
          </w:rPr>
          <w:t>-</w:t>
        </w:r>
      </w:hyperlink>
      <w:hyperlink r:id="rId40">
        <w:r>
          <w:rPr>
            <w:color w:val="0563C1"/>
            <w:sz w:val="16"/>
            <w:u w:val="single" w:color="0563C1"/>
          </w:rPr>
          <w:t>postepowaniu,</w:t>
        </w:r>
      </w:hyperlink>
      <w:hyperlink r:id="rId41">
        <w:r>
          <w:rPr>
            <w:color w:val="0563C1"/>
            <w:sz w:val="16"/>
            <w:u w:val="single" w:color="0563C1"/>
          </w:rPr>
          <w:t>-</w:t>
        </w:r>
      </w:hyperlink>
      <w:hyperlink r:id="rId42">
        <w:r>
          <w:rPr>
            <w:color w:val="0563C1"/>
            <w:sz w:val="16"/>
            <w:u w:val="single" w:color="0563C1"/>
          </w:rPr>
          <w:t>dokumenty</w:t>
        </w:r>
      </w:hyperlink>
      <w:hyperlink r:id="rId43">
        <w:r>
          <w:rPr>
            <w:color w:val="0563C1"/>
            <w:sz w:val="16"/>
            <w:u w:val="single" w:color="0563C1"/>
          </w:rPr>
          <w:t>-</w:t>
        </w:r>
      </w:hyperlink>
      <w:hyperlink r:id="rId44">
        <w:r>
          <w:rPr>
            <w:color w:val="0563C1"/>
            <w:sz w:val="16"/>
            <w:u w:val="single" w:color="0563C1"/>
          </w:rPr>
          <w:t>skladane</w:t>
        </w:r>
      </w:hyperlink>
      <w:hyperlink r:id="rId45">
        <w:r>
          <w:rPr>
            <w:color w:val="0563C1"/>
            <w:sz w:val="16"/>
            <w:u w:val="single" w:color="0563C1"/>
          </w:rPr>
          <w:t>-</w:t>
        </w:r>
      </w:hyperlink>
      <w:hyperlink r:id="rId46">
        <w:r>
          <w:rPr>
            <w:color w:val="0563C1"/>
            <w:sz w:val="16"/>
            <w:u w:val="single" w:color="0563C1"/>
          </w:rPr>
          <w:t>przez</w:t>
        </w:r>
      </w:hyperlink>
      <w:hyperlink r:id="rId47">
        <w:r>
          <w:rPr>
            <w:color w:val="0563C1"/>
            <w:sz w:val="16"/>
            <w:u w:val="single" w:color="0563C1"/>
          </w:rPr>
          <w:t>-</w:t>
        </w:r>
      </w:hyperlink>
      <w:hyperlink r:id="rId48">
        <w:r>
          <w:rPr>
            <w:color w:val="0563C1"/>
            <w:sz w:val="16"/>
            <w:u w:val="single" w:color="0563C1"/>
          </w:rPr>
          <w:t>wykonawcow</w:t>
        </w:r>
      </w:hyperlink>
      <w:hyperlink r:id="rId49">
        <w:r>
          <w:rPr>
            <w:color w:val="0563C1"/>
            <w:sz w:val="16"/>
            <w:u w:val="single" w:color="0563C1"/>
          </w:rPr>
          <w:t>-</w:t>
        </w:r>
      </w:hyperlink>
      <w:hyperlink r:id="rId50">
        <w:r>
          <w:rPr>
            <w:color w:val="0563C1"/>
            <w:sz w:val="16"/>
            <w:u w:val="single" w:color="0563C1"/>
          </w:rPr>
          <w:t>oraz</w:t>
        </w:r>
      </w:hyperlink>
      <w:hyperlink r:id="rId51">
        <w:r>
          <w:rPr>
            <w:color w:val="0563C1"/>
            <w:sz w:val="16"/>
            <w:u w:val="single" w:color="0563C1"/>
          </w:rPr>
          <w:t>-</w:t>
        </w:r>
      </w:hyperlink>
      <w:hyperlink r:id="rId52">
        <w:r>
          <w:rPr>
            <w:color w:val="0563C1"/>
            <w:sz w:val="16"/>
            <w:u w:val="single" w:color="0563C1"/>
          </w:rPr>
          <w:t>ich</w:t>
        </w:r>
      </w:hyperlink>
      <w:hyperlink r:id="rId53">
        <w:r>
          <w:rPr>
            <w:color w:val="0563C1"/>
            <w:sz w:val="16"/>
            <w:u w:val="single" w:color="0563C1"/>
          </w:rPr>
          <w:t>-</w:t>
        </w:r>
      </w:hyperlink>
      <w:hyperlink r:id="rId54">
        <w:r>
          <w:rPr>
            <w:color w:val="0563C1"/>
            <w:sz w:val="16"/>
            <w:u w:val="single" w:color="0563C1"/>
          </w:rPr>
          <w:t>wykluczenie</w:t>
        </w:r>
      </w:hyperlink>
      <w:hyperlink r:id="rId55">
        <w:r>
          <w:rPr>
            <w:color w:val="0563C1"/>
            <w:sz w:val="16"/>
            <w:u w:val="single" w:color="0563C1"/>
          </w:rPr>
          <w:t>-</w:t>
        </w:r>
      </w:hyperlink>
      <w:hyperlink r:id="rId56">
        <w:r>
          <w:rPr>
            <w:color w:val="0563C1"/>
            <w:sz w:val="16"/>
            <w:u w:val="single" w:color="0563C1"/>
          </w:rPr>
          <w:t>z</w:t>
        </w:r>
      </w:hyperlink>
      <w:hyperlink r:id="rId57">
        <w:r>
          <w:rPr>
            <w:color w:val="0563C1"/>
            <w:sz w:val="16"/>
            <w:u w:val="single" w:color="0563C1"/>
          </w:rPr>
          <w:t>-</w:t>
        </w:r>
      </w:hyperlink>
      <w:hyperlink r:id="rId58">
        <w:r>
          <w:rPr>
            <w:color w:val="0563C1"/>
            <w:sz w:val="16"/>
            <w:u w:val="single" w:color="0563C1"/>
          </w:rPr>
          <w:t>udzialu</w:t>
        </w:r>
      </w:hyperlink>
      <w:hyperlink r:id="rId59">
        <w:r>
          <w:rPr>
            <w:color w:val="0563C1"/>
            <w:sz w:val="16"/>
            <w:u w:val="single" w:color="0563C1"/>
          </w:rPr>
          <w:t>-</w:t>
        </w:r>
      </w:hyperlink>
      <w:hyperlink r:id="rId60">
        <w:r>
          <w:rPr>
            <w:color w:val="0563C1"/>
            <w:sz w:val="16"/>
            <w:u w:val="single" w:color="0563C1"/>
          </w:rPr>
          <w:t>w</w:t>
        </w:r>
      </w:hyperlink>
      <w:hyperlink r:id="rId61">
        <w:r>
          <w:rPr>
            <w:color w:val="0563C1"/>
            <w:sz w:val="16"/>
            <w:u w:val="single" w:color="0563C1"/>
          </w:rPr>
          <w:t>-</w:t>
        </w:r>
      </w:hyperlink>
    </w:p>
    <w:p w:rsidR="00025B8E" w:rsidRDefault="00506297">
      <w:pPr>
        <w:spacing w:after="20" w:line="216" w:lineRule="auto"/>
        <w:ind w:left="-3" w:right="3485"/>
      </w:pPr>
      <w:hyperlink r:id="rId62">
        <w:r w:rsidR="00C13F2C">
          <w:rPr>
            <w:color w:val="0563C1"/>
            <w:sz w:val="16"/>
            <w:u w:val="single" w:color="0563C1"/>
          </w:rPr>
          <w:t>postepowaniu/dopuszczalnosc</w:t>
        </w:r>
      </w:hyperlink>
      <w:hyperlink r:id="rId63">
        <w:r w:rsidR="00C13F2C">
          <w:rPr>
            <w:color w:val="0563C1"/>
            <w:sz w:val="16"/>
            <w:u w:val="single" w:color="0563C1"/>
          </w:rPr>
          <w:t>-</w:t>
        </w:r>
      </w:hyperlink>
      <w:hyperlink r:id="rId64">
        <w:r w:rsidR="00C13F2C">
          <w:rPr>
            <w:color w:val="0563C1"/>
            <w:sz w:val="16"/>
            <w:u w:val="single" w:color="0563C1"/>
          </w:rPr>
          <w:t>zadania</w:t>
        </w:r>
      </w:hyperlink>
      <w:hyperlink r:id="rId65">
        <w:r w:rsidR="00C13F2C">
          <w:rPr>
            <w:color w:val="0563C1"/>
            <w:sz w:val="16"/>
            <w:u w:val="single" w:color="0563C1"/>
          </w:rPr>
          <w:t>-</w:t>
        </w:r>
      </w:hyperlink>
      <w:hyperlink r:id="rId66">
        <w:r w:rsidR="00C13F2C">
          <w:rPr>
            <w:color w:val="0563C1"/>
            <w:sz w:val="16"/>
            <w:u w:val="single" w:color="0563C1"/>
          </w:rPr>
          <w:t>przez</w:t>
        </w:r>
      </w:hyperlink>
      <w:hyperlink r:id="rId67">
        <w:r w:rsidR="00C13F2C">
          <w:rPr>
            <w:color w:val="0563C1"/>
            <w:sz w:val="16"/>
            <w:u w:val="single" w:color="0563C1"/>
          </w:rPr>
          <w:t>-</w:t>
        </w:r>
      </w:hyperlink>
      <w:hyperlink r:id="rId68">
        <w:r w:rsidR="00C13F2C">
          <w:rPr>
            <w:color w:val="0563C1"/>
            <w:sz w:val="16"/>
            <w:u w:val="single" w:color="0563C1"/>
          </w:rPr>
          <w:t>zamawiajacego</w:t>
        </w:r>
      </w:hyperlink>
      <w:hyperlink r:id="rId69">
        <w:r w:rsidR="00C13F2C">
          <w:rPr>
            <w:color w:val="0563C1"/>
            <w:sz w:val="16"/>
            <w:u w:val="single" w:color="0563C1"/>
          </w:rPr>
          <w:t>-</w:t>
        </w:r>
      </w:hyperlink>
      <w:hyperlink r:id="rId70">
        <w:r w:rsidR="00C13F2C">
          <w:rPr>
            <w:color w:val="0563C1"/>
            <w:sz w:val="16"/>
            <w:u w:val="single" w:color="0563C1"/>
          </w:rPr>
          <w:t>przedstawienia</w:t>
        </w:r>
      </w:hyperlink>
      <w:hyperlink r:id="rId71">
        <w:r w:rsidR="00C13F2C">
          <w:rPr>
            <w:color w:val="0563C1"/>
            <w:sz w:val="16"/>
            <w:u w:val="single" w:color="0563C1"/>
          </w:rPr>
          <w:t>-</w:t>
        </w:r>
      </w:hyperlink>
      <w:hyperlink r:id="rId72">
        <w:r w:rsidR="00C13F2C">
          <w:rPr>
            <w:color w:val="0563C1"/>
            <w:sz w:val="16"/>
            <w:u w:val="single" w:color="0563C1"/>
          </w:rPr>
          <w:t>przez</w:t>
        </w:r>
      </w:hyperlink>
      <w:hyperlink r:id="rId73">
        <w:r w:rsidR="00C13F2C">
          <w:rPr>
            <w:color w:val="0563C1"/>
            <w:sz w:val="16"/>
            <w:u w:val="single" w:color="0563C1"/>
          </w:rPr>
          <w:t>-</w:t>
        </w:r>
      </w:hyperlink>
      <w:hyperlink r:id="rId74">
        <w:r w:rsidR="00C13F2C">
          <w:rPr>
            <w:color w:val="0563C1"/>
            <w:sz w:val="16"/>
            <w:u w:val="single" w:color="0563C1"/>
          </w:rPr>
          <w:t>wykonawce</w:t>
        </w:r>
      </w:hyperlink>
      <w:hyperlink r:id="rId75">
        <w:r w:rsidR="00C13F2C">
          <w:rPr>
            <w:color w:val="0563C1"/>
            <w:sz w:val="16"/>
            <w:u w:val="single" w:color="0563C1"/>
          </w:rPr>
          <w:t>-</w:t>
        </w:r>
      </w:hyperlink>
      <w:hyperlink r:id="rId76">
        <w:r w:rsidR="00C13F2C">
          <w:rPr>
            <w:color w:val="0563C1"/>
            <w:sz w:val="16"/>
            <w:u w:val="single" w:color="0563C1"/>
          </w:rPr>
          <w:t>dokumentow</w:t>
        </w:r>
      </w:hyperlink>
      <w:hyperlink r:id="rId77">
        <w:r w:rsidR="00C13F2C">
          <w:rPr>
            <w:color w:val="0563C1"/>
            <w:sz w:val="16"/>
            <w:u w:val="single" w:color="0563C1"/>
          </w:rPr>
          <w:t>-</w:t>
        </w:r>
      </w:hyperlink>
      <w:hyperlink r:id="rId78">
        <w:r w:rsidR="00C13F2C">
          <w:rPr>
            <w:color w:val="0563C1"/>
            <w:sz w:val="16"/>
            <w:u w:val="single" w:color="0563C1"/>
          </w:rPr>
          <w:t>podmiotowych</w:t>
        </w:r>
      </w:hyperlink>
      <w:hyperlink r:id="rId79">
        <w:r w:rsidR="00C13F2C">
          <w:rPr>
            <w:color w:val="0563C1"/>
            <w:sz w:val="16"/>
            <w:u w:val="single" w:color="0563C1"/>
          </w:rPr>
          <w:t>-</w:t>
        </w:r>
      </w:hyperlink>
      <w:hyperlink r:id="rId80">
        <w:r w:rsidR="00C13F2C">
          <w:rPr>
            <w:color w:val="0563C1"/>
            <w:sz w:val="16"/>
            <w:u w:val="single" w:color="0563C1"/>
          </w:rPr>
          <w:t>dotyczacych</w:t>
        </w:r>
      </w:hyperlink>
      <w:hyperlink r:id="rId81">
        <w:r w:rsidR="00C13F2C">
          <w:rPr>
            <w:color w:val="0563C1"/>
            <w:sz w:val="16"/>
            <w:u w:val="single" w:color="0563C1"/>
          </w:rPr>
          <w:t>-</w:t>
        </w:r>
      </w:hyperlink>
      <w:hyperlink r:id="rId82">
        <w:r w:rsidR="00C13F2C">
          <w:rPr>
            <w:color w:val="0563C1"/>
            <w:sz w:val="16"/>
            <w:u w:val="single" w:color="0563C1"/>
          </w:rPr>
          <w:t>podmiotu</w:t>
        </w:r>
      </w:hyperlink>
      <w:hyperlink r:id="rId83">
        <w:r w:rsidR="00C13F2C">
          <w:rPr>
            <w:color w:val="0563C1"/>
            <w:sz w:val="16"/>
            <w:u w:val="single" w:color="0563C1"/>
          </w:rPr>
          <w:t>-</w:t>
        </w:r>
      </w:hyperlink>
      <w:hyperlink r:id="rId84">
        <w:r w:rsidR="00C13F2C">
          <w:rPr>
            <w:color w:val="0563C1"/>
            <w:sz w:val="16"/>
            <w:u w:val="single" w:color="0563C1"/>
          </w:rPr>
          <w:t>trzeciego</w:t>
        </w:r>
      </w:hyperlink>
      <w:hyperlink r:id="rId85">
        <w:r w:rsidR="00C13F2C">
          <w:rPr>
            <w:sz w:val="16"/>
          </w:rPr>
          <w:t xml:space="preserve">  </w:t>
        </w:r>
      </w:hyperlink>
      <w:r w:rsidR="00C13F2C">
        <w:rPr>
          <w:sz w:val="16"/>
          <w:vertAlign w:val="superscript"/>
        </w:rPr>
        <w:t>12</w:t>
      </w:r>
      <w:r w:rsidR="00C13F2C">
        <w:rPr>
          <w:sz w:val="16"/>
        </w:rPr>
        <w:t xml:space="preserve"> </w:t>
      </w:r>
      <w:r w:rsidR="00C13F2C">
        <w:rPr>
          <w:sz w:val="16"/>
        </w:rPr>
        <w:tab/>
        <w:t xml:space="preserve">Np. dla służb technicznych zaangażowanych w kontrolę jakości: część IV, sekcja C, pkt 3. </w:t>
      </w:r>
    </w:p>
    <w:p w:rsidR="00025B8E" w:rsidRDefault="00C13F2C">
      <w:pPr>
        <w:spacing w:after="397"/>
        <w:ind w:left="64"/>
        <w:jc w:val="center"/>
      </w:pPr>
      <w:r>
        <w:rPr>
          <w:rFonts w:ascii="Times New Roman" w:eastAsia="Times New Roman" w:hAnsi="Times New Roman" w:cs="Times New Roman"/>
          <w:b/>
        </w:rPr>
        <w:t xml:space="preserve"> </w:t>
      </w:r>
    </w:p>
    <w:p w:rsidR="00025B8E" w:rsidRDefault="00C13F2C">
      <w:pPr>
        <w:pStyle w:val="Nagwek1"/>
        <w:ind w:left="2213"/>
      </w:pPr>
      <w:r>
        <w:rPr>
          <w:sz w:val="22"/>
        </w:rPr>
        <w:t>D: I</w:t>
      </w:r>
      <w:r>
        <w:t>NFORMACJE DOTYCZĄCE PODWYKONAWCÓW</w:t>
      </w:r>
      <w:r>
        <w:rPr>
          <w:sz w:val="22"/>
        </w:rPr>
        <w:t>,</w:t>
      </w:r>
      <w:r>
        <w:t xml:space="preserve"> NA KTÓRYCH ZDOLNOŚCI WYKONAWCA NIE POLEGA</w:t>
      </w:r>
      <w:r>
        <w:rPr>
          <w:sz w:val="22"/>
        </w:rPr>
        <w:t xml:space="preserve"> </w:t>
      </w:r>
    </w:p>
    <w:tbl>
      <w:tblPr>
        <w:tblStyle w:val="TableGrid"/>
        <w:tblW w:w="13936" w:type="dxa"/>
        <w:tblInd w:w="18" w:type="dxa"/>
        <w:tblCellMar>
          <w:top w:w="8" w:type="dxa"/>
          <w:left w:w="107" w:type="dxa"/>
          <w:right w:w="59" w:type="dxa"/>
        </w:tblCellMar>
        <w:tblLook w:val="04A0" w:firstRow="1" w:lastRow="0" w:firstColumn="1" w:lastColumn="0" w:noHBand="0" w:noVBand="1"/>
      </w:tblPr>
      <w:tblGrid>
        <w:gridCol w:w="4645"/>
        <w:gridCol w:w="4644"/>
        <w:gridCol w:w="4647"/>
      </w:tblGrid>
      <w:tr w:rsidR="00025B8E">
        <w:trPr>
          <w:trHeight w:val="746"/>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jc w:val="both"/>
            </w:pPr>
            <w:r>
              <w:t>(Sekcja, którą należy wypełnić jedynie w przypadku gdy instytucja zamawiająca lub podmiot zamawiający wprost tego zażąda.)</w:t>
            </w:r>
            <w:r>
              <w:rPr>
                <w:b/>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463"/>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Podwykonawstwo: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84" w:line="263" w:lineRule="auto"/>
              <w:ind w:left="1"/>
            </w:pPr>
            <w:r>
              <w:rPr>
                <w:rFonts w:ascii="Arial" w:eastAsia="Arial" w:hAnsi="Arial" w:cs="Arial"/>
              </w:rPr>
              <w:t xml:space="preserve">Wykonawca może zlecić wykonanie zamówienia bądź jego wyodrębnionej części podwykonawcy chyba, że zamawiający dokonał stosownego zastrzeżenia zgodnie z art. 36a ust. 1 ustawy lub ma zastosowanie  art. 36a ust. 2a.  </w:t>
            </w:r>
          </w:p>
          <w:p w:rsidR="00025B8E" w:rsidRDefault="00C13F2C">
            <w:pPr>
              <w:spacing w:after="155" w:line="262" w:lineRule="auto"/>
              <w:ind w:left="1"/>
            </w:pPr>
            <w:r>
              <w:rPr>
                <w:rFonts w:ascii="Arial" w:eastAsia="Arial" w:hAnsi="Arial" w:cs="Arial"/>
              </w:rPr>
              <w:t xml:space="preserve">W sytuacji, gdy wskazane zastrzeżenie nie zostało dokonane przez zamawiającego a wykonawca zamierza zlecić wykonanie całości bądź części zamówienia podwykonawcom, zakreśla on w formularzu odpowiedź „Tak”, wskazując jednocześnie wykaz proponowanych przez siebie podwykonawców i identyfikując ich.  </w:t>
            </w:r>
          </w:p>
          <w:p w:rsidR="00025B8E" w:rsidRDefault="00C13F2C">
            <w:pPr>
              <w:spacing w:after="137" w:line="282" w:lineRule="auto"/>
              <w:ind w:left="1" w:right="5"/>
            </w:pPr>
            <w:r>
              <w:rPr>
                <w:rFonts w:ascii="Arial" w:eastAsia="Arial" w:hAnsi="Arial" w:cs="Arial"/>
              </w:rPr>
              <w:t xml:space="preserve">Informacje o podwykonawcach zawarte w tym miejscu formularza JEDZ służą podmiotowej weryfikacji wykonawców (poprzez sprawdzenie podwykonawców).  </w:t>
            </w:r>
          </w:p>
          <w:p w:rsidR="00025B8E" w:rsidRDefault="00C13F2C">
            <w:pPr>
              <w:ind w:left="1" w:right="13"/>
            </w:pPr>
            <w:r>
              <w:rPr>
                <w:rFonts w:ascii="Arial" w:eastAsia="Arial" w:hAnsi="Arial" w:cs="Arial"/>
              </w:rPr>
              <w:t xml:space="preserve">Zgodnie z art. 25a ust. 5 ustawy Pzp zamawiający może żądać, by wykonawca, który zamierza powierzyć wykonanie części zamówienia podwykonawcom, złożył jednolite dokumenty w celu wykazania braku podstaw do wykluczenia z postępowania </w:t>
            </w:r>
          </w:p>
        </w:tc>
      </w:tr>
      <w:tr w:rsidR="00025B8E">
        <w:trPr>
          <w:trHeight w:val="6582"/>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lastRenderedPageBreak/>
              <w:t xml:space="preserve">Czy wykonawca zamierza zlecić osobom trzecim podwykonawstwo jakiejkolwiek części zamówienia?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Tak [] Nie </w:t>
            </w:r>
          </w:p>
          <w:p w:rsidR="00025B8E" w:rsidRDefault="00C13F2C">
            <w:pPr>
              <w:spacing w:after="163" w:line="256" w:lineRule="auto"/>
              <w:ind w:left="1"/>
            </w:pPr>
            <w:r>
              <w:t xml:space="preserve">Jeżeli </w:t>
            </w:r>
            <w:r>
              <w:rPr>
                <w:b/>
              </w:rPr>
              <w:t>tak i o ile jest to wiadome</w:t>
            </w:r>
            <w:r>
              <w:t xml:space="preserve">, proszę podać wykaz proponowanych podwykonawców:  </w:t>
            </w:r>
          </w:p>
          <w:p w:rsidR="00025B8E" w:rsidRDefault="00C13F2C">
            <w:pPr>
              <w:ind w:left="1"/>
            </w:pPr>
            <w: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7317"/>
        </w:trPr>
        <w:tc>
          <w:tcPr>
            <w:tcW w:w="4644" w:type="dxa"/>
            <w:tcBorders>
              <w:top w:val="single" w:sz="4" w:space="0" w:color="000000"/>
              <w:left w:val="single" w:sz="4" w:space="0" w:color="000000"/>
              <w:bottom w:val="single" w:sz="4" w:space="0" w:color="000000"/>
              <w:right w:val="single" w:sz="4" w:space="0" w:color="000000"/>
            </w:tcBorders>
          </w:tcPr>
          <w:p w:rsidR="00025B8E" w:rsidRDefault="00025B8E"/>
        </w:tc>
        <w:tc>
          <w:tcPr>
            <w:tcW w:w="4644"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line="262" w:lineRule="auto"/>
              <w:ind w:left="1" w:right="32"/>
            </w:pPr>
            <w:r>
              <w:rPr>
                <w:rFonts w:ascii="Arial" w:eastAsia="Arial" w:hAnsi="Arial" w:cs="Arial"/>
              </w:rPr>
              <w:t xml:space="preserve">dotyczące podwykonawców (stwierdzenie istnienia podstawy do wykluczenia dotyczącej podwykonawcy nie skutkuje jednak wykluczeniem wykonawcy z postępowania, tylko brakiem możliwości dopuszczenia do realizacji zamówienia </w:t>
            </w:r>
          </w:p>
          <w:p w:rsidR="00025B8E" w:rsidRDefault="00C13F2C">
            <w:pPr>
              <w:spacing w:after="171" w:line="256" w:lineRule="auto"/>
              <w:ind w:left="1"/>
            </w:pPr>
            <w:r>
              <w:rPr>
                <w:rFonts w:ascii="Arial" w:eastAsia="Arial" w:hAnsi="Arial" w:cs="Arial"/>
              </w:rPr>
              <w:t xml:space="preserve">negatywnie zweryfikowanego podwykonawcy).  </w:t>
            </w:r>
          </w:p>
          <w:p w:rsidR="00025B8E" w:rsidRDefault="00C13F2C">
            <w:pPr>
              <w:spacing w:after="166" w:line="278" w:lineRule="auto"/>
              <w:ind w:left="1"/>
            </w:pPr>
            <w:r>
              <w:rPr>
                <w:rFonts w:ascii="Arial" w:eastAsia="Arial" w:hAnsi="Arial" w:cs="Arial"/>
              </w:rPr>
              <w:t xml:space="preserve">W takim wypadku wykonawca składa osobny formularz JEDZ dla każdego ze wskazanych podwykonawców, wypełniony przez podwykonawcę w zakresie podstaw wykluczenia (część III) i przez niego (podwykonawcę) podpisany.  </w:t>
            </w:r>
          </w:p>
          <w:p w:rsidR="00025B8E" w:rsidRDefault="00C13F2C">
            <w:pPr>
              <w:ind w:left="1" w:right="44"/>
            </w:pPr>
            <w:r>
              <w:rPr>
                <w:rFonts w:ascii="Arial" w:eastAsia="Arial" w:hAnsi="Arial" w:cs="Arial"/>
              </w:rPr>
              <w:t xml:space="preserve">Jeśli zamawiający nie weryfikuje podwykonawców pod kątem braku istnienia podstaw do wykluczenia (nie przewidział takiej możliwości w ogłoszeniu o zamówieniu) wykonawcy także powinni udzielić odpowiedzi w tym miejscu formularza dotyczącej podwykonawców. W takiej sytuacji jednak wykonawcy nie mają obowiązku składania odrębnych formularzy JEDZ dla wskazanych przez siebie podwykonawców. </w:t>
            </w:r>
          </w:p>
        </w:tc>
      </w:tr>
      <w:tr w:rsidR="00025B8E">
        <w:trPr>
          <w:trHeight w:val="1328"/>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46"/>
              <w:jc w:val="both"/>
            </w:pPr>
            <w:r>
              <w:rPr>
                <w:b/>
              </w:rPr>
              <w:t>Jeżeli instytucja zamawiająca lub podmiot zamawiający wyraźnie żąda przedstawienia tych informacji</w:t>
            </w:r>
            <w:r>
              <w:t xml:space="preserve"> oprócz informacji </w:t>
            </w:r>
            <w:r>
              <w:rPr>
                <w:b/>
              </w:rPr>
              <w:t>wymaganych w niniejszej sekcji, proszę przedstawić – dla każdego podwykonawcy (każdej kategorii podwykonawców), których to dotyczy – informacje wymagane w niniejszej części sekcja A i B oraz w części III.</w:t>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tc>
      </w:tr>
    </w:tbl>
    <w:p w:rsidR="00025B8E" w:rsidRDefault="00C13F2C">
      <w:pPr>
        <w:spacing w:after="0"/>
        <w:ind w:left="12"/>
        <w:jc w:val="both"/>
      </w:pPr>
      <w:r>
        <w:rPr>
          <w:rFonts w:ascii="Arial" w:eastAsia="Arial" w:hAnsi="Arial" w:cs="Arial"/>
        </w:rPr>
        <w:t xml:space="preserve"> </w:t>
      </w:r>
      <w:r>
        <w:rPr>
          <w:rFonts w:ascii="Arial" w:eastAsia="Arial" w:hAnsi="Arial" w:cs="Arial"/>
        </w:rPr>
        <w:tab/>
        <w:t xml:space="preserve"> </w:t>
      </w:r>
    </w:p>
    <w:p w:rsidR="00025B8E" w:rsidRDefault="00C13F2C">
      <w:pPr>
        <w:pStyle w:val="Nagwek2"/>
        <w:spacing w:after="400"/>
        <w:ind w:left="18" w:right="2"/>
      </w:pPr>
      <w:r>
        <w:lastRenderedPageBreak/>
        <w:t xml:space="preserve">Część III: Podstawy wykluczenia </w:t>
      </w:r>
    </w:p>
    <w:p w:rsidR="00025B8E" w:rsidRDefault="00C13F2C">
      <w:pPr>
        <w:spacing w:after="99"/>
        <w:ind w:left="20" w:right="6" w:hanging="10"/>
        <w:jc w:val="center"/>
      </w:pPr>
      <w:r>
        <w:rPr>
          <w:rFonts w:ascii="Times New Roman" w:eastAsia="Times New Roman" w:hAnsi="Times New Roman" w:cs="Times New Roman"/>
          <w:b/>
        </w:rPr>
        <w:t>A:</w:t>
      </w:r>
      <w:r>
        <w:rPr>
          <w:rFonts w:ascii="Times New Roman" w:eastAsia="Times New Roman" w:hAnsi="Times New Roman" w:cs="Times New Roman"/>
          <w:b/>
          <w:sz w:val="18"/>
        </w:rPr>
        <w:t xml:space="preserve"> </w:t>
      </w:r>
      <w:r>
        <w:rPr>
          <w:rFonts w:ascii="Times New Roman" w:eastAsia="Times New Roman" w:hAnsi="Times New Roman" w:cs="Times New Roman"/>
          <w:b/>
        </w:rPr>
        <w:t>P</w:t>
      </w:r>
      <w:r>
        <w:rPr>
          <w:rFonts w:ascii="Times New Roman" w:eastAsia="Times New Roman" w:hAnsi="Times New Roman" w:cs="Times New Roman"/>
          <w:b/>
          <w:sz w:val="18"/>
        </w:rPr>
        <w:t>ODSTAWY ZWIĄZANE Z WYROKAMI SKAZUJĄCYMI ZA PRZESTĘPSTWO</w:t>
      </w:r>
      <w:r>
        <w:rPr>
          <w:rFonts w:ascii="Times New Roman" w:eastAsia="Times New Roman" w:hAnsi="Times New Roman" w:cs="Times New Roman"/>
          <w:b/>
        </w:rPr>
        <w:t xml:space="preserve"> </w:t>
      </w:r>
    </w:p>
    <w:tbl>
      <w:tblPr>
        <w:tblStyle w:val="TableGrid"/>
        <w:tblW w:w="13936" w:type="dxa"/>
        <w:tblInd w:w="18" w:type="dxa"/>
        <w:tblCellMar>
          <w:top w:w="2" w:type="dxa"/>
          <w:left w:w="107" w:type="dxa"/>
          <w:right w:w="115" w:type="dxa"/>
        </w:tblCellMar>
        <w:tblLook w:val="04A0" w:firstRow="1" w:lastRow="0" w:firstColumn="1" w:lastColumn="0" w:noHBand="0" w:noVBand="1"/>
      </w:tblPr>
      <w:tblGrid>
        <w:gridCol w:w="4645"/>
        <w:gridCol w:w="4644"/>
        <w:gridCol w:w="4647"/>
      </w:tblGrid>
      <w:tr w:rsidR="00025B8E">
        <w:trPr>
          <w:trHeight w:val="2714"/>
        </w:trPr>
        <w:tc>
          <w:tcPr>
            <w:tcW w:w="9288" w:type="dxa"/>
            <w:gridSpan w:val="2"/>
            <w:tcBorders>
              <w:top w:val="single" w:sz="8" w:space="0" w:color="000000"/>
              <w:left w:val="single" w:sz="4" w:space="0" w:color="000000"/>
              <w:bottom w:val="single" w:sz="4" w:space="0" w:color="000000"/>
              <w:right w:val="single" w:sz="4" w:space="0" w:color="000000"/>
            </w:tcBorders>
            <w:shd w:val="clear" w:color="auto" w:fill="BFBFBF"/>
          </w:tcPr>
          <w:p w:rsidR="00025B8E" w:rsidRDefault="00C13F2C">
            <w:pPr>
              <w:spacing w:after="186"/>
            </w:pPr>
            <w:r>
              <w:t xml:space="preserve">W art. 57 ust. 1 dyrektywy 2014/24/UE określono następujące powody wykluczenia: </w:t>
            </w:r>
          </w:p>
          <w:p w:rsidR="00025B8E" w:rsidRDefault="00C13F2C">
            <w:pPr>
              <w:numPr>
                <w:ilvl w:val="0"/>
                <w:numId w:val="11"/>
              </w:numPr>
              <w:spacing w:after="132"/>
              <w:ind w:hanging="850"/>
            </w:pPr>
            <w:r>
              <w:t xml:space="preserve">udział w </w:t>
            </w:r>
            <w:r>
              <w:rPr>
                <w:b/>
              </w:rPr>
              <w:t xml:space="preserve">organizacji przestępczej </w:t>
            </w:r>
            <w:r>
              <w:t>(</w:t>
            </w:r>
            <w:r>
              <w:rPr>
                <w:b/>
                <w:vertAlign w:val="superscript"/>
              </w:rPr>
              <w:footnoteReference w:id="9"/>
            </w:r>
            <w:r>
              <w:t xml:space="preserve">); </w:t>
            </w:r>
          </w:p>
          <w:p w:rsidR="00025B8E" w:rsidRDefault="00C13F2C">
            <w:pPr>
              <w:numPr>
                <w:ilvl w:val="0"/>
                <w:numId w:val="11"/>
              </w:numPr>
              <w:spacing w:after="142"/>
              <w:ind w:hanging="850"/>
            </w:pPr>
            <w:r>
              <w:rPr>
                <w:b/>
              </w:rPr>
              <w:t xml:space="preserve">korupcja </w:t>
            </w:r>
            <w:r>
              <w:t>(</w:t>
            </w:r>
            <w:r>
              <w:rPr>
                <w:b/>
                <w:vertAlign w:val="superscript"/>
              </w:rPr>
              <w:footnoteReference w:id="10"/>
            </w:r>
            <w:r>
              <w:t xml:space="preserve">); </w:t>
            </w:r>
          </w:p>
          <w:p w:rsidR="00025B8E" w:rsidRDefault="00C13F2C">
            <w:pPr>
              <w:numPr>
                <w:ilvl w:val="0"/>
                <w:numId w:val="11"/>
              </w:numPr>
              <w:spacing w:after="133"/>
              <w:ind w:hanging="850"/>
            </w:pPr>
            <w:r>
              <w:rPr>
                <w:b/>
              </w:rPr>
              <w:t>nadużycie finansowe (</w:t>
            </w:r>
            <w:r>
              <w:rPr>
                <w:b/>
                <w:vertAlign w:val="superscript"/>
              </w:rPr>
              <w:footnoteReference w:id="11"/>
            </w:r>
            <w:r>
              <w:rPr>
                <w:b/>
              </w:rPr>
              <w:t>)</w:t>
            </w:r>
            <w:r>
              <w:t xml:space="preserve">; </w:t>
            </w:r>
          </w:p>
          <w:p w:rsidR="00025B8E" w:rsidRDefault="00C13F2C">
            <w:pPr>
              <w:numPr>
                <w:ilvl w:val="0"/>
                <w:numId w:val="11"/>
              </w:numPr>
              <w:spacing w:after="133"/>
              <w:ind w:hanging="850"/>
            </w:pPr>
            <w:r>
              <w:rPr>
                <w:b/>
              </w:rPr>
              <w:t>przestępstwa terrorystyczne lub przestępstwa związane z działalnością terrorystyczną (</w:t>
            </w:r>
            <w:r>
              <w:rPr>
                <w:b/>
                <w:vertAlign w:val="superscript"/>
              </w:rPr>
              <w:footnoteReference w:id="12"/>
            </w:r>
            <w:r>
              <w:rPr>
                <w:b/>
              </w:rPr>
              <w:t>)</w:t>
            </w:r>
            <w:r>
              <w:t xml:space="preserve"> </w:t>
            </w:r>
          </w:p>
          <w:p w:rsidR="00025B8E" w:rsidRDefault="00C13F2C">
            <w:pPr>
              <w:numPr>
                <w:ilvl w:val="0"/>
                <w:numId w:val="11"/>
              </w:numPr>
              <w:spacing w:after="139"/>
              <w:ind w:hanging="850"/>
            </w:pPr>
            <w:r>
              <w:rPr>
                <w:b/>
              </w:rPr>
              <w:t xml:space="preserve">pranie pieniędzy lub finansowanie terroryzmu </w:t>
            </w:r>
            <w:r>
              <w:t>(</w:t>
            </w:r>
            <w:r>
              <w:rPr>
                <w:b/>
                <w:vertAlign w:val="superscript"/>
              </w:rPr>
              <w:footnoteReference w:id="13"/>
            </w:r>
            <w:r>
              <w:t>)</w:t>
            </w:r>
            <w:r>
              <w:rPr>
                <w:b/>
              </w:rPr>
              <w:t xml:space="preserve"> </w:t>
            </w:r>
          </w:p>
          <w:p w:rsidR="00025B8E" w:rsidRDefault="00C13F2C">
            <w:pPr>
              <w:numPr>
                <w:ilvl w:val="0"/>
                <w:numId w:val="11"/>
              </w:numPr>
              <w:ind w:hanging="850"/>
            </w:pPr>
            <w:r>
              <w:rPr>
                <w:b/>
              </w:rPr>
              <w:t>praca dzieci</w:t>
            </w:r>
            <w:r>
              <w:t xml:space="preserve"> i inne formy </w:t>
            </w:r>
            <w:r>
              <w:rPr>
                <w:b/>
              </w:rPr>
              <w:t xml:space="preserve">handlu ludźmi </w:t>
            </w:r>
            <w:r>
              <w:t>(</w:t>
            </w:r>
            <w:r>
              <w:rPr>
                <w:b/>
                <w:vertAlign w:val="superscript"/>
              </w:rPr>
              <w:footnoteReference w:id="14"/>
            </w:r>
            <w:r>
              <w:t>).</w:t>
            </w:r>
            <w:r>
              <w:rPr>
                <w:b/>
              </w:rPr>
              <w:t xml:space="preserve"> </w:t>
            </w:r>
          </w:p>
        </w:tc>
        <w:tc>
          <w:tcPr>
            <w:tcW w:w="4647" w:type="dxa"/>
            <w:vMerge w:val="restart"/>
            <w:tcBorders>
              <w:top w:val="single" w:sz="8"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130"/>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025B8E"/>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1619"/>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Podstawy związane z wyrokami skazującymi za przestępstwo na podstawie przepisów krajowych stanowiących wdrożenie podstaw określonych w art. 57 ust. 1 wspomnianej dyrektywy: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vMerge w:val="restart"/>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Przepis art. 57 ust. 1 dyrektywy</w:t>
            </w:r>
            <w:r>
              <w:t xml:space="preserve"> </w:t>
            </w:r>
            <w:r>
              <w:rPr>
                <w:rFonts w:ascii="Arial" w:eastAsia="Arial" w:hAnsi="Arial" w:cs="Arial"/>
              </w:rPr>
              <w:t xml:space="preserve">został wdrożony w treści art. 24 ust. 1 pkt 13 i 14 ustawy Pzp, z tym że katalog przestępstw przewidzianych w w/w przepisach ustawy Pzp jest znacznie szerszy w stosunku do </w:t>
            </w:r>
            <w:r>
              <w:rPr>
                <w:rFonts w:ascii="Arial" w:eastAsia="Arial" w:hAnsi="Arial" w:cs="Arial"/>
              </w:rPr>
              <w:lastRenderedPageBreak/>
              <w:t xml:space="preserve">wynikającego z treści art. 57 ust. 1 dyrektywy. </w:t>
            </w:r>
          </w:p>
        </w:tc>
      </w:tr>
      <w:tr w:rsidR="00025B8E">
        <w:trPr>
          <w:trHeight w:val="88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lastRenderedPageBreak/>
              <w:t xml:space="preserve">Czy w stosunku do </w:t>
            </w:r>
            <w:r>
              <w:rPr>
                <w:b/>
              </w:rPr>
              <w:t>samego wykonawcy</w:t>
            </w:r>
            <w:r>
              <w:t xml:space="preserve"> bądź </w:t>
            </w:r>
            <w:r>
              <w:rPr>
                <w:b/>
              </w:rPr>
              <w:t>jakiejkolwiek</w:t>
            </w:r>
            <w:r>
              <w:t xml:space="preserve"> osoby będącej członkiem organów administracyjnych, zarządzających lub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Tak [] Nie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66"/>
      </w:pPr>
    </w:p>
    <w:tbl>
      <w:tblPr>
        <w:tblStyle w:val="TableGrid"/>
        <w:tblW w:w="13937" w:type="dxa"/>
        <w:tblInd w:w="17" w:type="dxa"/>
        <w:tblCellMar>
          <w:top w:w="32" w:type="dxa"/>
          <w:left w:w="106" w:type="dxa"/>
          <w:right w:w="64" w:type="dxa"/>
        </w:tblCellMar>
        <w:tblLook w:val="04A0" w:firstRow="1" w:lastRow="0" w:firstColumn="1" w:lastColumn="0" w:noHBand="0" w:noVBand="1"/>
      </w:tblPr>
      <w:tblGrid>
        <w:gridCol w:w="4645"/>
        <w:gridCol w:w="4647"/>
        <w:gridCol w:w="4645"/>
      </w:tblGrid>
      <w:tr w:rsidR="00025B8E">
        <w:trPr>
          <w:trHeight w:val="7074"/>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nadzorczych wykonawcy, lub posiadającej w przedsiębiorstwie wykonawcy uprawnienia do reprezentowania, uprawnienia decyzyjne lub kontrolne, </w:t>
            </w:r>
            <w:r>
              <w:rPr>
                <w:b/>
              </w:rPr>
              <w:t>wydany został prawomocny wyrok</w:t>
            </w:r>
            <w:r>
              <w:t xml:space="preserve"> z jednego z wyżej wymienionych powodów, orzeczeniem sprzed najwyżej pięciu lat lub w którym okres wykluczenia określony bezpośrednio w wyroku nadal obowiązuje?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Jeżeli odnośna dokumentacja jest dostępna w formie elektronicznej, proszę wskazać: (adres internetowy, wydający urząd lub organ, dokładne dane referencyjne dokumentacji): [……][……][……][……] (</w:t>
            </w:r>
            <w:r>
              <w:rPr>
                <w:rFonts w:ascii="Arial" w:eastAsia="Arial" w:hAnsi="Arial" w:cs="Arial"/>
                <w:sz w:val="20"/>
                <w:vertAlign w:val="superscript"/>
              </w:rPr>
              <w:footnoteReference w:id="15"/>
            </w: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67" w:line="277" w:lineRule="auto"/>
              <w:ind w:right="10"/>
            </w:pPr>
            <w:r>
              <w:rPr>
                <w:rFonts w:ascii="Arial" w:eastAsia="Arial" w:hAnsi="Arial" w:cs="Arial"/>
              </w:rPr>
              <w:t xml:space="preserve">W myśl w/w przepisów ustawy Pzp weryfikacji pod kątem niekaralności podlegają osoby skazane za przestępstwa: </w:t>
            </w:r>
          </w:p>
          <w:p w:rsidR="00025B8E" w:rsidRDefault="00C13F2C">
            <w:pPr>
              <w:numPr>
                <w:ilvl w:val="0"/>
                <w:numId w:val="12"/>
              </w:numPr>
              <w:ind w:hanging="361"/>
            </w:pPr>
            <w:r>
              <w:rPr>
                <w:rFonts w:ascii="Arial" w:eastAsia="Arial" w:hAnsi="Arial" w:cs="Arial"/>
              </w:rPr>
              <w:t>o którym mowa w art. 165a, art. 181-</w:t>
            </w:r>
          </w:p>
          <w:p w:rsidR="00025B8E" w:rsidRDefault="00C13F2C">
            <w:pPr>
              <w:spacing w:line="260" w:lineRule="auto"/>
              <w:ind w:left="721" w:right="11"/>
            </w:pPr>
            <w:r>
              <w:rPr>
                <w:rFonts w:ascii="Arial" w:eastAsia="Arial" w:hAnsi="Arial" w:cs="Arial"/>
              </w:rPr>
              <w:t>188, art. 189a,</w:t>
            </w:r>
            <w:r>
              <w:rPr>
                <w:rFonts w:ascii="Arial" w:eastAsia="Arial" w:hAnsi="Arial" w:cs="Arial"/>
                <w:color w:val="FF0000"/>
              </w:rPr>
              <w:t xml:space="preserve"> </w:t>
            </w:r>
            <w:r>
              <w:rPr>
                <w:rFonts w:ascii="Arial" w:eastAsia="Arial" w:hAnsi="Arial" w:cs="Arial"/>
              </w:rPr>
              <w:t xml:space="preserve">art.218-221, art. 228230a, art. 250a, art. 258 lub </w:t>
            </w:r>
            <w:r>
              <w:rPr>
                <w:rFonts w:ascii="Arial" w:eastAsia="Arial" w:hAnsi="Arial" w:cs="Arial"/>
                <w:color w:val="FF0000"/>
              </w:rPr>
              <w:t xml:space="preserve"> </w:t>
            </w:r>
            <w:r>
              <w:rPr>
                <w:rFonts w:ascii="Arial" w:eastAsia="Arial" w:hAnsi="Arial" w:cs="Arial"/>
              </w:rPr>
              <w:t>art. 270309 ustawy z dnia 6 czerwca 1997 r. – Kodeks karny (Dz. U. z 1997 r. Nr 88, poz. 553, z późn. zm.</w:t>
            </w:r>
            <w:r>
              <w:rPr>
                <w:rFonts w:ascii="Segoe UI Symbol" w:eastAsia="Segoe UI Symbol" w:hAnsi="Segoe UI Symbol" w:cs="Segoe UI Symbol"/>
                <w:vertAlign w:val="superscript"/>
              </w:rPr>
              <w:t></w:t>
            </w:r>
            <w:r>
              <w:rPr>
                <w:rFonts w:ascii="Arial" w:eastAsia="Arial" w:hAnsi="Arial" w:cs="Arial"/>
              </w:rPr>
              <w:t xml:space="preserve">)), lub art. 46 lub art. 48 ustawy z dnia 25 czerwca 2010 r. o sporcie (Dz. U. z </w:t>
            </w:r>
          </w:p>
          <w:p w:rsidR="00025B8E" w:rsidRDefault="00C13F2C">
            <w:pPr>
              <w:ind w:left="721"/>
            </w:pPr>
            <w:r>
              <w:rPr>
                <w:rFonts w:ascii="Arial" w:eastAsia="Arial" w:hAnsi="Arial" w:cs="Arial"/>
              </w:rPr>
              <w:t xml:space="preserve">2016 r., poz.176), </w:t>
            </w:r>
          </w:p>
          <w:p w:rsidR="00025B8E" w:rsidRDefault="00C13F2C">
            <w:pPr>
              <w:numPr>
                <w:ilvl w:val="0"/>
                <w:numId w:val="12"/>
              </w:numPr>
              <w:spacing w:line="296" w:lineRule="auto"/>
              <w:ind w:hanging="361"/>
            </w:pPr>
            <w:r>
              <w:rPr>
                <w:rFonts w:ascii="Arial" w:eastAsia="Arial" w:hAnsi="Arial" w:cs="Arial"/>
              </w:rPr>
              <w:t xml:space="preserve">o charakterze terrorystycznym, o którym mowa w art. 115 </w:t>
            </w:r>
            <w:r>
              <w:t xml:space="preserve">§ </w:t>
            </w:r>
            <w:r>
              <w:rPr>
                <w:rFonts w:ascii="Arial" w:eastAsia="Arial" w:hAnsi="Arial" w:cs="Arial"/>
              </w:rPr>
              <w:t xml:space="preserve">20 ustawy z dnia 6 czerwca 1997 r. – Kodeks karny, </w:t>
            </w:r>
          </w:p>
          <w:p w:rsidR="00025B8E" w:rsidRDefault="00C13F2C">
            <w:pPr>
              <w:numPr>
                <w:ilvl w:val="0"/>
                <w:numId w:val="12"/>
              </w:numPr>
              <w:spacing w:after="30"/>
              <w:ind w:hanging="361"/>
            </w:pPr>
            <w:r>
              <w:rPr>
                <w:rFonts w:ascii="Arial" w:eastAsia="Arial" w:hAnsi="Arial" w:cs="Arial"/>
              </w:rPr>
              <w:t xml:space="preserve">skarbowe. </w:t>
            </w:r>
          </w:p>
          <w:p w:rsidR="00025B8E" w:rsidRDefault="00C13F2C">
            <w:pPr>
              <w:numPr>
                <w:ilvl w:val="0"/>
                <w:numId w:val="12"/>
              </w:numPr>
              <w:ind w:hanging="361"/>
            </w:pPr>
            <w:r>
              <w:rPr>
                <w:rFonts w:ascii="Arial" w:eastAsia="Arial" w:hAnsi="Arial" w:cs="Arial"/>
              </w:rPr>
              <w:t xml:space="preserve">przestępstwo, o którym mowa w art. 9 lub art. 10 ustawy z dnia 15 czerwca 2012 r. o skutkach powierzania wykonywania pracy cudzoziemcom przebywającym wbrew przepisom na terytorium Rzeczypospolitej Polskiej </w:t>
            </w:r>
            <w:r>
              <w:rPr>
                <w:rFonts w:ascii="Arial" w:eastAsia="Arial" w:hAnsi="Arial" w:cs="Arial"/>
              </w:rPr>
              <w:lastRenderedPageBreak/>
              <w:t xml:space="preserve">(Dz. U. poz. 769) (w tym przypadku mamy do czynienia z implementacją </w:t>
            </w:r>
          </w:p>
        </w:tc>
      </w:tr>
    </w:tbl>
    <w:p w:rsidR="00025B8E" w:rsidRDefault="00025B8E">
      <w:pPr>
        <w:spacing w:after="0"/>
        <w:ind w:left="-1406" w:right="66"/>
      </w:pPr>
    </w:p>
    <w:tbl>
      <w:tblPr>
        <w:tblStyle w:val="TableGrid"/>
        <w:tblW w:w="13937" w:type="dxa"/>
        <w:tblInd w:w="17" w:type="dxa"/>
        <w:tblCellMar>
          <w:top w:w="9" w:type="dxa"/>
          <w:left w:w="106" w:type="dxa"/>
          <w:right w:w="52" w:type="dxa"/>
        </w:tblCellMar>
        <w:tblLook w:val="04A0" w:firstRow="1" w:lastRow="0" w:firstColumn="1" w:lastColumn="0" w:noHBand="0" w:noVBand="1"/>
      </w:tblPr>
      <w:tblGrid>
        <w:gridCol w:w="4645"/>
        <w:gridCol w:w="4647"/>
        <w:gridCol w:w="4645"/>
      </w:tblGrid>
      <w:tr w:rsidR="00025B8E">
        <w:trPr>
          <w:trHeight w:val="8241"/>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4" w:line="265" w:lineRule="auto"/>
              <w:ind w:left="721" w:right="46"/>
            </w:pPr>
            <w:r>
              <w:rPr>
                <w:rFonts w:ascii="Arial" w:eastAsia="Arial" w:hAnsi="Arial" w:cs="Arial"/>
              </w:rPr>
              <w:t xml:space="preserve">dyrektywy </w:t>
            </w:r>
            <w:r>
              <w:rPr>
                <w:rFonts w:ascii="Arial" w:eastAsia="Arial" w:hAnsi="Arial" w:cs="Arial"/>
                <w:i/>
              </w:rPr>
              <w:t>Parlamentu Europejskiego i Rady 2009/52/WE z dnia 18 czerwca 2009 r. przewidującej minimalne normy w odniesieniu do kar i środków stosowanych wobec pracodawców zatrudniających nielegalnie przebywających obywateli krajów trzecich).</w:t>
            </w:r>
            <w:r>
              <w:rPr>
                <w:rFonts w:ascii="Arial" w:eastAsia="Arial" w:hAnsi="Arial" w:cs="Arial"/>
              </w:rPr>
              <w:t xml:space="preserve"> </w:t>
            </w:r>
          </w:p>
          <w:p w:rsidR="00025B8E" w:rsidRDefault="00C13F2C">
            <w:pPr>
              <w:spacing w:line="291" w:lineRule="auto"/>
            </w:pPr>
            <w:r>
              <w:rPr>
                <w:rFonts w:ascii="Arial" w:eastAsia="Arial" w:hAnsi="Arial" w:cs="Arial"/>
              </w:rPr>
              <w:t xml:space="preserve">Szczegółowy katalog przestępstw, o których mowa w art. 24 ust. 1 pkt 13 ustawy, wraz z przyporządkowaniem właściwych rubryk formularza, znajduje się w </w:t>
            </w:r>
            <w:r>
              <w:rPr>
                <w:rFonts w:ascii="Arial" w:eastAsia="Arial" w:hAnsi="Arial" w:cs="Arial"/>
                <w:color w:val="0563C1"/>
                <w:u w:val="single" w:color="0563C1"/>
              </w:rPr>
              <w:t>załączniku</w:t>
            </w:r>
            <w:r>
              <w:rPr>
                <w:rFonts w:ascii="Arial" w:eastAsia="Arial" w:hAnsi="Arial" w:cs="Arial"/>
              </w:rPr>
              <w:t xml:space="preserve"> do instrukcji. </w:t>
            </w:r>
          </w:p>
          <w:p w:rsidR="00025B8E" w:rsidRDefault="00C13F2C">
            <w:pPr>
              <w:spacing w:after="223" w:line="283" w:lineRule="auto"/>
              <w:ind w:right="11"/>
            </w:pPr>
            <w:r>
              <w:rPr>
                <w:rFonts w:ascii="Arial" w:eastAsia="Arial" w:hAnsi="Arial" w:cs="Arial"/>
              </w:rPr>
              <w:t xml:space="preserve">W tym miejscu formularza wykonawca składa oświadczenie dotyczące niekaralności jedynie w zakresie konkretnych, poniżej wskazanych przestępstw, których dotyczą przesłanki ustawowe z art. 24 ust. 1 pkt 13 i pkt 14 ustawy Pzp, a które jednocześnie stanowią implementację art. 57 ust. 1 dyrektywy, tj.: </w:t>
            </w:r>
          </w:p>
          <w:p w:rsidR="00025B8E" w:rsidRDefault="00C13F2C">
            <w:pPr>
              <w:numPr>
                <w:ilvl w:val="0"/>
                <w:numId w:val="13"/>
              </w:numPr>
              <w:spacing w:after="16" w:line="273" w:lineRule="auto"/>
              <w:ind w:right="13" w:hanging="361"/>
            </w:pPr>
            <w:r>
              <w:rPr>
                <w:rFonts w:ascii="Arial" w:eastAsia="Arial" w:hAnsi="Arial" w:cs="Arial"/>
              </w:rPr>
              <w:t>udział w organizacji przestępczej, czyli na gruncie prawa krajowego – art. 258 Kodeksu karnego;</w:t>
            </w:r>
            <w:r>
              <w:rPr>
                <w:rFonts w:ascii="Arial" w:eastAsia="Arial" w:hAnsi="Arial" w:cs="Arial"/>
                <w:sz w:val="24"/>
              </w:rPr>
              <w:t xml:space="preserve"> </w:t>
            </w:r>
          </w:p>
          <w:p w:rsidR="00025B8E" w:rsidRDefault="00C13F2C">
            <w:pPr>
              <w:numPr>
                <w:ilvl w:val="0"/>
                <w:numId w:val="13"/>
              </w:numPr>
              <w:ind w:right="13" w:hanging="361"/>
            </w:pPr>
            <w:r>
              <w:rPr>
                <w:rFonts w:ascii="Arial" w:eastAsia="Arial" w:hAnsi="Arial" w:cs="Arial"/>
              </w:rPr>
              <w:t xml:space="preserve">korupcja, czyli art. 228-230a lub 250a Kodeksu karnego lub art. 46 lub art. 48 ustawy o sporcie; </w:t>
            </w:r>
            <w:r>
              <w:rPr>
                <w:rFonts w:ascii="Arial" w:eastAsia="Arial" w:hAnsi="Arial" w:cs="Arial"/>
                <w:sz w:val="24"/>
              </w:rPr>
              <w:t xml:space="preserve"> </w:t>
            </w:r>
          </w:p>
        </w:tc>
      </w:tr>
    </w:tbl>
    <w:p w:rsidR="00025B8E" w:rsidRDefault="00025B8E">
      <w:pPr>
        <w:spacing w:after="0"/>
        <w:ind w:left="-1406" w:right="66"/>
      </w:pPr>
    </w:p>
    <w:tbl>
      <w:tblPr>
        <w:tblStyle w:val="TableGrid"/>
        <w:tblW w:w="13937" w:type="dxa"/>
        <w:tblInd w:w="17" w:type="dxa"/>
        <w:tblCellMar>
          <w:top w:w="61" w:type="dxa"/>
          <w:left w:w="106" w:type="dxa"/>
          <w:right w:w="49" w:type="dxa"/>
        </w:tblCellMar>
        <w:tblLook w:val="04A0" w:firstRow="1" w:lastRow="0" w:firstColumn="1" w:lastColumn="0" w:noHBand="0" w:noVBand="1"/>
      </w:tblPr>
      <w:tblGrid>
        <w:gridCol w:w="4645"/>
        <w:gridCol w:w="4647"/>
        <w:gridCol w:w="4645"/>
      </w:tblGrid>
      <w:tr w:rsidR="00025B8E">
        <w:trPr>
          <w:trHeight w:val="8586"/>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40" w:line="284" w:lineRule="auto"/>
              <w:ind w:left="360" w:right="186"/>
            </w:pPr>
            <w:r>
              <w:rPr>
                <w:rFonts w:ascii="Arial" w:eastAsia="Arial" w:hAnsi="Arial" w:cs="Arial"/>
                <w:sz w:val="24"/>
              </w:rPr>
              <w:t xml:space="preserve">(3) </w:t>
            </w:r>
            <w:r>
              <w:rPr>
                <w:rFonts w:ascii="Arial" w:eastAsia="Arial" w:hAnsi="Arial" w:cs="Arial"/>
              </w:rPr>
              <w:t xml:space="preserve">nadużycie finansowe – przestępstwa skarbowe, o których mowa w art. 24 ust. 1 pkt 13 lit. b) ustawy; </w:t>
            </w:r>
            <w:r>
              <w:rPr>
                <w:rFonts w:ascii="Arial" w:eastAsia="Arial" w:hAnsi="Arial" w:cs="Arial"/>
                <w:sz w:val="24"/>
              </w:rPr>
              <w:t xml:space="preserve"> (4) </w:t>
            </w:r>
            <w:r>
              <w:rPr>
                <w:rFonts w:ascii="Arial" w:eastAsia="Arial" w:hAnsi="Arial" w:cs="Arial"/>
              </w:rPr>
              <w:t xml:space="preserve">przestępstwa terrorystyczne lub przestępstwa związane z działalnością terrorystyczną, czyli przestępstwa o charakterze terrorystycznym, o których mowa w art. 24 ust. 1 pkt 13 lit. c) ustawy; </w:t>
            </w:r>
            <w:r>
              <w:rPr>
                <w:rFonts w:ascii="Arial" w:eastAsia="Arial" w:hAnsi="Arial" w:cs="Arial"/>
                <w:sz w:val="24"/>
              </w:rPr>
              <w:t xml:space="preserve"> </w:t>
            </w:r>
          </w:p>
          <w:p w:rsidR="00025B8E" w:rsidRDefault="00C13F2C">
            <w:pPr>
              <w:numPr>
                <w:ilvl w:val="0"/>
                <w:numId w:val="14"/>
              </w:numPr>
              <w:spacing w:after="15" w:line="273" w:lineRule="auto"/>
              <w:ind w:right="441" w:hanging="361"/>
            </w:pPr>
            <w:r>
              <w:rPr>
                <w:rFonts w:ascii="Arial" w:eastAsia="Arial" w:hAnsi="Arial" w:cs="Arial"/>
              </w:rPr>
              <w:t xml:space="preserve">pranie pieniędzy lub finansowanie terroryzmu – art. 299 lub art. 165a Kodeksu karnego; </w:t>
            </w:r>
            <w:r>
              <w:rPr>
                <w:rFonts w:ascii="Arial" w:eastAsia="Arial" w:hAnsi="Arial" w:cs="Arial"/>
                <w:sz w:val="24"/>
              </w:rPr>
              <w:t xml:space="preserve"> </w:t>
            </w:r>
          </w:p>
          <w:p w:rsidR="00025B8E" w:rsidRDefault="00C13F2C">
            <w:pPr>
              <w:numPr>
                <w:ilvl w:val="0"/>
                <w:numId w:val="14"/>
              </w:numPr>
              <w:spacing w:after="169" w:line="275" w:lineRule="auto"/>
              <w:ind w:right="441" w:hanging="361"/>
            </w:pPr>
            <w:r>
              <w:rPr>
                <w:rFonts w:ascii="Arial" w:eastAsia="Arial" w:hAnsi="Arial" w:cs="Arial"/>
              </w:rPr>
              <w:t>praca dzieci i inne formy handlu ludźmi – art. 189a Kodeksu karnego.</w:t>
            </w:r>
            <w:r>
              <w:rPr>
                <w:rFonts w:ascii="Arial" w:eastAsia="Arial" w:hAnsi="Arial" w:cs="Arial"/>
                <w:sz w:val="24"/>
              </w:rPr>
              <w:t xml:space="preserve"> </w:t>
            </w:r>
          </w:p>
          <w:p w:rsidR="00025B8E" w:rsidRDefault="00C13F2C">
            <w:pPr>
              <w:spacing w:after="247" w:line="280" w:lineRule="auto"/>
              <w:ind w:right="59"/>
              <w:jc w:val="both"/>
            </w:pPr>
            <w:r>
              <w:rPr>
                <w:rFonts w:ascii="Arial" w:eastAsia="Arial" w:hAnsi="Arial" w:cs="Arial"/>
              </w:rPr>
              <w:t xml:space="preserve">Pozostałe podstawy wykluczenia z art. 24 ust. 1 pkt 13 i 14 ustawy Pzp, które nie stanowią wdrożenia art. 57 ust. 1 dyrektywy, należy uwzględnić w innych sekcjach tej części formularza: </w:t>
            </w:r>
          </w:p>
          <w:p w:rsidR="00025B8E" w:rsidRDefault="00C13F2C">
            <w:pPr>
              <w:spacing w:line="286" w:lineRule="auto"/>
              <w:ind w:left="721" w:right="126" w:hanging="361"/>
            </w:pPr>
            <w:r>
              <w:rPr>
                <w:rFonts w:ascii="Segoe UI Symbol" w:eastAsia="Segoe UI Symbol" w:hAnsi="Segoe UI Symbol" w:cs="Segoe UI Symbol"/>
                <w:sz w:val="24"/>
              </w:rPr>
              <w:t></w:t>
            </w:r>
            <w:r>
              <w:rPr>
                <w:rFonts w:ascii="Arial" w:eastAsia="Arial" w:hAnsi="Arial" w:cs="Arial"/>
                <w:sz w:val="24"/>
              </w:rPr>
              <w:t xml:space="preserve"> </w:t>
            </w:r>
            <w:r>
              <w:rPr>
                <w:rFonts w:ascii="Arial" w:eastAsia="Arial" w:hAnsi="Arial" w:cs="Arial"/>
              </w:rPr>
              <w:t xml:space="preserve">w sekcji C w podsekcji dotyczącej </w:t>
            </w:r>
            <w:r>
              <w:rPr>
                <w:rFonts w:ascii="Arial" w:eastAsia="Arial" w:hAnsi="Arial" w:cs="Arial"/>
                <w:b/>
              </w:rPr>
              <w:t>naruszenia obowiązków w dziedzinie  prawa środowiska, prawa socjalnego i prawa pracy</w:t>
            </w:r>
            <w:r>
              <w:rPr>
                <w:rFonts w:ascii="Arial" w:eastAsia="Arial" w:hAnsi="Arial" w:cs="Arial"/>
                <w:sz w:val="24"/>
              </w:rPr>
              <w:t xml:space="preserve"> </w:t>
            </w:r>
            <w:r>
              <w:rPr>
                <w:rFonts w:ascii="Courier New" w:eastAsia="Courier New" w:hAnsi="Courier New" w:cs="Courier New"/>
              </w:rPr>
              <w:t>o</w:t>
            </w:r>
            <w:r>
              <w:rPr>
                <w:rFonts w:ascii="Arial" w:eastAsia="Arial" w:hAnsi="Arial" w:cs="Arial"/>
              </w:rPr>
              <w:t xml:space="preserve"> przestępstwa przeciwko środowisku wymienione w art. </w:t>
            </w:r>
          </w:p>
          <w:p w:rsidR="00025B8E" w:rsidRDefault="00C13F2C">
            <w:pPr>
              <w:ind w:left="1081" w:right="236"/>
              <w:jc w:val="right"/>
            </w:pPr>
            <w:r>
              <w:rPr>
                <w:rFonts w:ascii="Arial" w:eastAsia="Arial" w:hAnsi="Arial" w:cs="Arial"/>
              </w:rPr>
              <w:t xml:space="preserve">181 – 188 Kodeksu karnego; </w:t>
            </w:r>
            <w:r>
              <w:rPr>
                <w:rFonts w:ascii="Courier New" w:eastAsia="Courier New" w:hAnsi="Courier New" w:cs="Courier New"/>
              </w:rPr>
              <w:t>o</w:t>
            </w:r>
            <w:r>
              <w:rPr>
                <w:rFonts w:ascii="Arial" w:eastAsia="Arial" w:hAnsi="Arial" w:cs="Arial"/>
              </w:rPr>
              <w:t xml:space="preserve"> przestępstwa przeciwko prawom osób wykonujących </w:t>
            </w:r>
          </w:p>
        </w:tc>
      </w:tr>
    </w:tbl>
    <w:p w:rsidR="00025B8E" w:rsidRDefault="00025B8E">
      <w:pPr>
        <w:spacing w:after="0"/>
        <w:ind w:left="-1406" w:right="66"/>
      </w:pPr>
    </w:p>
    <w:tbl>
      <w:tblPr>
        <w:tblStyle w:val="TableGrid"/>
        <w:tblW w:w="13937" w:type="dxa"/>
        <w:tblInd w:w="17" w:type="dxa"/>
        <w:tblCellMar>
          <w:top w:w="47" w:type="dxa"/>
          <w:right w:w="104" w:type="dxa"/>
        </w:tblCellMar>
        <w:tblLook w:val="04A0" w:firstRow="1" w:lastRow="0" w:firstColumn="1" w:lastColumn="0" w:noHBand="0" w:noVBand="1"/>
      </w:tblPr>
      <w:tblGrid>
        <w:gridCol w:w="4645"/>
        <w:gridCol w:w="4647"/>
        <w:gridCol w:w="826"/>
        <w:gridCol w:w="3819"/>
      </w:tblGrid>
      <w:tr w:rsidR="00025B8E">
        <w:trPr>
          <w:trHeight w:val="3494"/>
        </w:trPr>
        <w:tc>
          <w:tcPr>
            <w:tcW w:w="4645" w:type="dxa"/>
            <w:tcBorders>
              <w:top w:val="single" w:sz="4" w:space="0" w:color="000000"/>
              <w:left w:val="single" w:sz="4" w:space="0" w:color="000000"/>
              <w:bottom w:val="nil"/>
              <w:right w:val="single" w:sz="4" w:space="0" w:color="000000"/>
            </w:tcBorders>
          </w:tcPr>
          <w:p w:rsidR="00025B8E" w:rsidRDefault="00025B8E"/>
        </w:tc>
        <w:tc>
          <w:tcPr>
            <w:tcW w:w="4647" w:type="dxa"/>
            <w:tcBorders>
              <w:top w:val="single" w:sz="4" w:space="0" w:color="000000"/>
              <w:left w:val="single" w:sz="4" w:space="0" w:color="000000"/>
              <w:bottom w:val="nil"/>
              <w:right w:val="single" w:sz="4" w:space="0" w:color="000000"/>
            </w:tcBorders>
          </w:tcPr>
          <w:p w:rsidR="00025B8E" w:rsidRDefault="00025B8E"/>
        </w:tc>
        <w:tc>
          <w:tcPr>
            <w:tcW w:w="826" w:type="dxa"/>
            <w:tcBorders>
              <w:top w:val="single" w:sz="4" w:space="0" w:color="000000"/>
              <w:left w:val="single" w:sz="4" w:space="0" w:color="000000"/>
              <w:bottom w:val="nil"/>
              <w:right w:val="nil"/>
            </w:tcBorders>
          </w:tcPr>
          <w:p w:rsidR="00025B8E" w:rsidRDefault="00025B8E"/>
        </w:tc>
        <w:tc>
          <w:tcPr>
            <w:tcW w:w="3819" w:type="dxa"/>
            <w:tcBorders>
              <w:top w:val="single" w:sz="4" w:space="0" w:color="000000"/>
              <w:left w:val="nil"/>
              <w:bottom w:val="nil"/>
              <w:right w:val="single" w:sz="4" w:space="0" w:color="000000"/>
            </w:tcBorders>
          </w:tcPr>
          <w:p w:rsidR="00025B8E" w:rsidRDefault="00C13F2C">
            <w:pPr>
              <w:spacing w:after="16"/>
              <w:ind w:left="720"/>
            </w:pPr>
            <w:r>
              <w:rPr>
                <w:rFonts w:ascii="Arial" w:eastAsia="Arial" w:hAnsi="Arial" w:cs="Arial"/>
              </w:rPr>
              <w:t xml:space="preserve">pracę zarobkową z art. 218 – </w:t>
            </w:r>
          </w:p>
          <w:p w:rsidR="00025B8E" w:rsidRDefault="00C13F2C">
            <w:pPr>
              <w:spacing w:after="10" w:line="281" w:lineRule="auto"/>
              <w:ind w:left="360" w:right="62" w:firstLine="360"/>
            </w:pPr>
            <w:r>
              <w:rPr>
                <w:rFonts w:ascii="Arial" w:eastAsia="Arial" w:hAnsi="Arial" w:cs="Arial"/>
              </w:rPr>
              <w:t xml:space="preserve">221 Kodeksu karnego; </w:t>
            </w:r>
            <w:r>
              <w:rPr>
                <w:rFonts w:ascii="Courier New" w:eastAsia="Courier New" w:hAnsi="Courier New" w:cs="Courier New"/>
                <w:sz w:val="24"/>
              </w:rPr>
              <w:t>o</w:t>
            </w:r>
            <w:r>
              <w:rPr>
                <w:rFonts w:ascii="Arial" w:eastAsia="Arial" w:hAnsi="Arial" w:cs="Arial"/>
                <w:sz w:val="24"/>
              </w:rPr>
              <w:t xml:space="preserve"> </w:t>
            </w:r>
            <w:r>
              <w:rPr>
                <w:rFonts w:ascii="Arial" w:eastAsia="Arial" w:hAnsi="Arial" w:cs="Arial"/>
              </w:rPr>
              <w:t xml:space="preserve">przestępstwo, o którym mowa w art. 9 lub art. 10 ustawy z dnia 15 czerwca 2012 r. o skutkach powierzania wykonywania pracy cudzoziemcom przebywającym wbrew przepisom na terytorium Rzeczypospolitej Polskiej (Dz. </w:t>
            </w:r>
          </w:p>
          <w:p w:rsidR="00025B8E" w:rsidRDefault="00C13F2C">
            <w:pPr>
              <w:ind w:left="720"/>
            </w:pPr>
            <w:r>
              <w:rPr>
                <w:rFonts w:ascii="Arial" w:eastAsia="Arial" w:hAnsi="Arial" w:cs="Arial"/>
              </w:rPr>
              <w:t>U. poz. 769);</w:t>
            </w:r>
            <w:r>
              <w:rPr>
                <w:rFonts w:ascii="Arial" w:eastAsia="Arial" w:hAnsi="Arial" w:cs="Arial"/>
                <w:sz w:val="24"/>
              </w:rPr>
              <w:t xml:space="preserve"> </w:t>
            </w:r>
          </w:p>
        </w:tc>
      </w:tr>
      <w:tr w:rsidR="00025B8E">
        <w:trPr>
          <w:trHeight w:val="4567"/>
        </w:trPr>
        <w:tc>
          <w:tcPr>
            <w:tcW w:w="4645" w:type="dxa"/>
            <w:tcBorders>
              <w:top w:val="nil"/>
              <w:left w:val="single" w:sz="4" w:space="0" w:color="000000"/>
              <w:bottom w:val="single" w:sz="4" w:space="0" w:color="000000"/>
              <w:right w:val="single" w:sz="4" w:space="0" w:color="000000"/>
            </w:tcBorders>
          </w:tcPr>
          <w:p w:rsidR="00025B8E" w:rsidRDefault="00025B8E"/>
        </w:tc>
        <w:tc>
          <w:tcPr>
            <w:tcW w:w="4647" w:type="dxa"/>
            <w:tcBorders>
              <w:top w:val="nil"/>
              <w:left w:val="single" w:sz="4" w:space="0" w:color="000000"/>
              <w:bottom w:val="single" w:sz="4" w:space="0" w:color="000000"/>
              <w:right w:val="single" w:sz="4" w:space="0" w:color="000000"/>
            </w:tcBorders>
          </w:tcPr>
          <w:p w:rsidR="00025B8E" w:rsidRDefault="00025B8E"/>
        </w:tc>
        <w:tc>
          <w:tcPr>
            <w:tcW w:w="826" w:type="dxa"/>
            <w:tcBorders>
              <w:top w:val="nil"/>
              <w:left w:val="single" w:sz="4" w:space="0" w:color="000000"/>
              <w:bottom w:val="single" w:sz="4" w:space="0" w:color="000000"/>
              <w:right w:val="nil"/>
            </w:tcBorders>
          </w:tcPr>
          <w:p w:rsidR="00025B8E" w:rsidRDefault="00C13F2C">
            <w:pPr>
              <w:ind w:left="319"/>
              <w:jc w:val="center"/>
            </w:pPr>
            <w:r>
              <w:rPr>
                <w:rFonts w:ascii="Segoe UI Symbol" w:eastAsia="Segoe UI Symbol" w:hAnsi="Segoe UI Symbol" w:cs="Segoe UI Symbol"/>
                <w:sz w:val="24"/>
              </w:rPr>
              <w:t></w:t>
            </w:r>
            <w:r>
              <w:rPr>
                <w:rFonts w:ascii="Arial" w:eastAsia="Arial" w:hAnsi="Arial" w:cs="Arial"/>
                <w:sz w:val="24"/>
              </w:rPr>
              <w:t xml:space="preserve"> </w:t>
            </w:r>
          </w:p>
        </w:tc>
        <w:tc>
          <w:tcPr>
            <w:tcW w:w="3819" w:type="dxa"/>
            <w:tcBorders>
              <w:top w:val="nil"/>
              <w:left w:val="nil"/>
              <w:bottom w:val="single" w:sz="4" w:space="0" w:color="000000"/>
              <w:right w:val="single" w:sz="4" w:space="0" w:color="000000"/>
            </w:tcBorders>
          </w:tcPr>
          <w:p w:rsidR="00025B8E" w:rsidRDefault="00C13F2C">
            <w:pPr>
              <w:spacing w:after="43" w:line="269" w:lineRule="auto"/>
            </w:pPr>
            <w:r>
              <w:rPr>
                <w:rFonts w:ascii="Arial" w:eastAsia="Arial" w:hAnsi="Arial" w:cs="Arial"/>
              </w:rPr>
              <w:t xml:space="preserve">w sekcji D dotyczącej </w:t>
            </w:r>
            <w:r>
              <w:rPr>
                <w:rFonts w:ascii="Arial" w:eastAsia="Arial" w:hAnsi="Arial" w:cs="Arial"/>
                <w:b/>
              </w:rPr>
              <w:t>krajowych</w:t>
            </w:r>
            <w:r>
              <w:rPr>
                <w:rFonts w:ascii="Arial" w:eastAsia="Arial" w:hAnsi="Arial" w:cs="Arial"/>
              </w:rPr>
              <w:t xml:space="preserve"> podstaw wykluczenia:</w:t>
            </w:r>
            <w:r>
              <w:rPr>
                <w:rFonts w:ascii="Arial" w:eastAsia="Arial" w:hAnsi="Arial" w:cs="Arial"/>
                <w:sz w:val="24"/>
              </w:rPr>
              <w:t xml:space="preserve"> </w:t>
            </w:r>
          </w:p>
          <w:p w:rsidR="00025B8E" w:rsidRDefault="00C13F2C">
            <w:pPr>
              <w:spacing w:after="5" w:line="287" w:lineRule="auto"/>
              <w:ind w:left="720" w:right="194" w:hanging="360"/>
              <w:jc w:val="both"/>
            </w:pPr>
            <w:r>
              <w:rPr>
                <w:rFonts w:ascii="Courier New" w:eastAsia="Courier New" w:hAnsi="Courier New" w:cs="Courier New"/>
                <w:sz w:val="24"/>
              </w:rPr>
              <w:t>o</w:t>
            </w:r>
            <w:r>
              <w:rPr>
                <w:rFonts w:ascii="Arial" w:eastAsia="Arial" w:hAnsi="Arial" w:cs="Arial"/>
                <w:sz w:val="24"/>
              </w:rPr>
              <w:t xml:space="preserve"> </w:t>
            </w:r>
            <w:r>
              <w:rPr>
                <w:rFonts w:ascii="Arial" w:eastAsia="Arial" w:hAnsi="Arial" w:cs="Arial"/>
              </w:rPr>
              <w:t xml:space="preserve">przestępstwa przeciwko wiarygodności dokumentów wymienione w art. 270 – 277 </w:t>
            </w:r>
          </w:p>
          <w:p w:rsidR="00025B8E" w:rsidRDefault="00C13F2C">
            <w:pPr>
              <w:spacing w:line="303" w:lineRule="auto"/>
              <w:ind w:left="360" w:right="660" w:firstLine="360"/>
            </w:pPr>
            <w:r>
              <w:rPr>
                <w:rFonts w:ascii="Arial" w:eastAsia="Arial" w:hAnsi="Arial" w:cs="Arial"/>
              </w:rPr>
              <w:t>Kodeksu karnego;</w:t>
            </w:r>
            <w:r>
              <w:rPr>
                <w:rFonts w:ascii="Arial" w:eastAsia="Arial" w:hAnsi="Arial" w:cs="Arial"/>
                <w:sz w:val="24"/>
              </w:rPr>
              <w:t xml:space="preserve"> </w:t>
            </w:r>
            <w:r>
              <w:rPr>
                <w:rFonts w:ascii="Courier New" w:eastAsia="Courier New" w:hAnsi="Courier New" w:cs="Courier New"/>
                <w:sz w:val="24"/>
              </w:rPr>
              <w:t>o</w:t>
            </w:r>
            <w:r>
              <w:rPr>
                <w:rFonts w:ascii="Arial" w:eastAsia="Arial" w:hAnsi="Arial" w:cs="Arial"/>
                <w:sz w:val="24"/>
              </w:rPr>
              <w:t xml:space="preserve"> </w:t>
            </w:r>
            <w:r>
              <w:rPr>
                <w:rFonts w:ascii="Arial" w:eastAsia="Arial" w:hAnsi="Arial" w:cs="Arial"/>
              </w:rPr>
              <w:t xml:space="preserve">przestępstwa przeciwko mieniu z art. 278 – 295 </w:t>
            </w:r>
          </w:p>
          <w:p w:rsidR="00025B8E" w:rsidRDefault="00C13F2C">
            <w:pPr>
              <w:ind w:left="360" w:right="57" w:firstLine="360"/>
              <w:jc w:val="both"/>
            </w:pPr>
            <w:r>
              <w:rPr>
                <w:rFonts w:ascii="Arial" w:eastAsia="Arial" w:hAnsi="Arial" w:cs="Arial"/>
              </w:rPr>
              <w:t>Kodeksu karnego;</w:t>
            </w:r>
            <w:r>
              <w:rPr>
                <w:rFonts w:ascii="Arial" w:eastAsia="Arial" w:hAnsi="Arial" w:cs="Arial"/>
                <w:sz w:val="24"/>
              </w:rPr>
              <w:t xml:space="preserve"> </w:t>
            </w:r>
            <w:r>
              <w:rPr>
                <w:rFonts w:ascii="Courier New" w:eastAsia="Courier New" w:hAnsi="Courier New" w:cs="Courier New"/>
              </w:rPr>
              <w:t>o</w:t>
            </w:r>
            <w:r>
              <w:rPr>
                <w:rFonts w:ascii="Arial" w:eastAsia="Arial" w:hAnsi="Arial" w:cs="Arial"/>
              </w:rPr>
              <w:t xml:space="preserve"> przestępstwa przeciwko obrotowi gospodarczemu wymienione w przepisach art. 296 – 307 Kodeksu karnego – </w:t>
            </w:r>
            <w:r>
              <w:rPr>
                <w:rFonts w:ascii="Arial" w:eastAsia="Arial" w:hAnsi="Arial" w:cs="Arial"/>
                <w:u w:val="single" w:color="000000"/>
              </w:rPr>
              <w:t>z wyjątkiem art. 299 (pranie</w:t>
            </w:r>
            <w:r>
              <w:rPr>
                <w:rFonts w:ascii="Arial" w:eastAsia="Arial" w:hAnsi="Arial" w:cs="Arial"/>
              </w:rPr>
              <w:t xml:space="preserve"> </w:t>
            </w:r>
            <w:r>
              <w:rPr>
                <w:rFonts w:ascii="Arial" w:eastAsia="Arial" w:hAnsi="Arial" w:cs="Arial"/>
                <w:u w:val="single" w:color="000000"/>
              </w:rPr>
              <w:t>pieniędzy).</w:t>
            </w:r>
            <w:r>
              <w:rPr>
                <w:rFonts w:ascii="Arial" w:eastAsia="Arial" w:hAnsi="Arial" w:cs="Arial"/>
              </w:rPr>
              <w:t xml:space="preserve"> </w:t>
            </w:r>
          </w:p>
        </w:tc>
      </w:tr>
    </w:tbl>
    <w:p w:rsidR="00025B8E" w:rsidRDefault="00025B8E">
      <w:pPr>
        <w:spacing w:after="0"/>
        <w:ind w:left="-1406" w:right="66"/>
      </w:pPr>
    </w:p>
    <w:tbl>
      <w:tblPr>
        <w:tblStyle w:val="TableGrid"/>
        <w:tblW w:w="13937" w:type="dxa"/>
        <w:tblInd w:w="17" w:type="dxa"/>
        <w:tblCellMar>
          <w:top w:w="9" w:type="dxa"/>
          <w:left w:w="106" w:type="dxa"/>
          <w:right w:w="74" w:type="dxa"/>
        </w:tblCellMar>
        <w:tblLook w:val="04A0" w:firstRow="1" w:lastRow="0" w:firstColumn="1" w:lastColumn="0" w:noHBand="0" w:noVBand="1"/>
      </w:tblPr>
      <w:tblGrid>
        <w:gridCol w:w="4645"/>
        <w:gridCol w:w="4647"/>
        <w:gridCol w:w="4645"/>
      </w:tblGrid>
      <w:tr w:rsidR="00025B8E">
        <w:trPr>
          <w:trHeight w:val="8135"/>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2"/>
              <w:ind w:left="2"/>
            </w:pPr>
            <w:r>
              <w:rPr>
                <w:b/>
              </w:rPr>
              <w:lastRenderedPageBreak/>
              <w:t>Jeżeli tak</w:t>
            </w:r>
            <w:r>
              <w:t>, proszę podać (</w:t>
            </w:r>
            <w:r>
              <w:rPr>
                <w:rFonts w:ascii="Arial" w:eastAsia="Arial" w:hAnsi="Arial" w:cs="Arial"/>
                <w:sz w:val="20"/>
                <w:vertAlign w:val="superscript"/>
              </w:rPr>
              <w:footnoteReference w:id="16"/>
            </w:r>
            <w:r>
              <w:t xml:space="preserve">): </w:t>
            </w:r>
          </w:p>
          <w:p w:rsidR="00025B8E" w:rsidRDefault="00C13F2C">
            <w:pPr>
              <w:numPr>
                <w:ilvl w:val="0"/>
                <w:numId w:val="15"/>
              </w:numPr>
              <w:spacing w:after="1" w:line="258" w:lineRule="auto"/>
            </w:pPr>
            <w:r>
              <w:t xml:space="preserve">datę wyroku, określić, których spośród punktów 1–6 on dotyczy, oraz podać powód/ody) skazania; </w:t>
            </w:r>
          </w:p>
          <w:p w:rsidR="00025B8E" w:rsidRDefault="00C13F2C">
            <w:pPr>
              <w:numPr>
                <w:ilvl w:val="0"/>
                <w:numId w:val="15"/>
              </w:numPr>
            </w:pPr>
            <w:r>
              <w:t xml:space="preserve">wskazać, kto został skazany [ ]; </w:t>
            </w:r>
          </w:p>
          <w:p w:rsidR="00025B8E" w:rsidRDefault="00C13F2C">
            <w:pPr>
              <w:numPr>
                <w:ilvl w:val="0"/>
                <w:numId w:val="15"/>
              </w:numPr>
            </w:pPr>
            <w:r>
              <w:rPr>
                <w:b/>
              </w:rPr>
              <w:t>w zakresie, w jakim zostało to bezpośrednio ustalone w wyroku:</w:t>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6"/>
              <w:ind w:left="2"/>
            </w:pPr>
            <w:r>
              <w:t xml:space="preserve"> </w:t>
            </w:r>
          </w:p>
          <w:p w:rsidR="00025B8E" w:rsidRDefault="00C13F2C">
            <w:pPr>
              <w:numPr>
                <w:ilvl w:val="0"/>
                <w:numId w:val="16"/>
              </w:numPr>
              <w:spacing w:after="11"/>
              <w:ind w:hanging="233"/>
            </w:pPr>
            <w:r>
              <w:t>data: [   ], punkt(-y): [   ], powód(-ody): [   ]</w:t>
            </w:r>
            <w:r>
              <w:rPr>
                <w:i/>
                <w:vertAlign w:val="superscript"/>
              </w:rPr>
              <w:t xml:space="preserve"> </w:t>
            </w:r>
            <w:r>
              <w:t xml:space="preserve"> </w:t>
            </w:r>
          </w:p>
          <w:p w:rsidR="00025B8E" w:rsidRDefault="00C13F2C">
            <w:pPr>
              <w:ind w:left="2"/>
            </w:pPr>
            <w:r>
              <w:t xml:space="preserve"> </w:t>
            </w:r>
          </w:p>
          <w:p w:rsidR="00025B8E" w:rsidRDefault="00C13F2C">
            <w:pPr>
              <w:ind w:left="2"/>
            </w:pPr>
            <w:r>
              <w:t xml:space="preserve"> </w:t>
            </w:r>
          </w:p>
          <w:p w:rsidR="00025B8E" w:rsidRDefault="00C13F2C">
            <w:pPr>
              <w:numPr>
                <w:ilvl w:val="0"/>
                <w:numId w:val="16"/>
              </w:numPr>
              <w:ind w:hanging="233"/>
            </w:pPr>
            <w:r>
              <w:t xml:space="preserve">[……] </w:t>
            </w:r>
          </w:p>
          <w:p w:rsidR="00025B8E" w:rsidRDefault="00C13F2C">
            <w:pPr>
              <w:numPr>
                <w:ilvl w:val="0"/>
                <w:numId w:val="16"/>
              </w:numPr>
              <w:ind w:hanging="233"/>
            </w:pPr>
            <w:r>
              <w:t>długość okresu wykluczenia [……] oraz punkt(-</w:t>
            </w:r>
          </w:p>
          <w:p w:rsidR="00025B8E" w:rsidRDefault="00C13F2C">
            <w:pPr>
              <w:spacing w:after="158"/>
              <w:ind w:left="2"/>
            </w:pPr>
            <w:r>
              <w:t xml:space="preserve">y), którego(-ych) to dotyczy. </w:t>
            </w:r>
          </w:p>
          <w:p w:rsidR="00025B8E" w:rsidRDefault="00C13F2C">
            <w:pPr>
              <w:ind w:left="2"/>
            </w:pPr>
            <w:r>
              <w:t>Jeżeli odnośna dokumentacja jest dostępna w formie elektronicznej, proszę wskazać: (adres internetowy, wydający urząd lub organ, dokładne dane referencyjne dokumentacji): [……][……][……][……] (</w:t>
            </w:r>
            <w:r>
              <w:rPr>
                <w:rFonts w:ascii="Arial" w:eastAsia="Arial" w:hAnsi="Arial" w:cs="Arial"/>
                <w:sz w:val="20"/>
                <w:vertAlign w:val="superscript"/>
              </w:rPr>
              <w:footnoteReference w:id="17"/>
            </w: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29" w:line="269" w:lineRule="auto"/>
            </w:pPr>
            <w:r>
              <w:rPr>
                <w:rFonts w:ascii="Arial" w:eastAsia="Arial" w:hAnsi="Arial" w:cs="Arial"/>
              </w:rPr>
              <w:t xml:space="preserve">W przypadku prawomocnego skazania za jedno z wymienionych przestępstw, o których mowa w art. 57 ust. 1 dyrektywy, należy wskazać datę wyroku dotyczącego przestępstwa, przyporządkowując jednocześnie konkretne przestępstwo wymienione  we wskazanym przepisie dyrektywy w pkt 1- 6 (zob. wyżej). </w:t>
            </w:r>
            <w:r>
              <w:rPr>
                <w:rFonts w:ascii="Arial" w:eastAsia="Arial" w:hAnsi="Arial" w:cs="Arial"/>
                <w:sz w:val="24"/>
              </w:rPr>
              <w:t xml:space="preserve"> </w:t>
            </w:r>
          </w:p>
          <w:p w:rsidR="00025B8E" w:rsidRDefault="00C13F2C">
            <w:pPr>
              <w:spacing w:after="174" w:line="267" w:lineRule="auto"/>
            </w:pPr>
            <w:r>
              <w:rPr>
                <w:rFonts w:ascii="Arial" w:eastAsia="Arial" w:hAnsi="Arial" w:cs="Arial"/>
              </w:rPr>
              <w:t xml:space="preserve">Jeśli wyrok skazujący określa okres wykluczenia z udziału w postępowaniach o udzielenie zamówienia publicznego, tę informację również należy wskazać w tej sekcji formularza. </w:t>
            </w:r>
          </w:p>
          <w:p w:rsidR="00025B8E" w:rsidRDefault="00C13F2C">
            <w:r>
              <w:rPr>
                <w:rFonts w:ascii="Arial" w:eastAsia="Arial" w:hAnsi="Arial" w:cs="Arial"/>
              </w:rPr>
              <w:t xml:space="preserve">Polski system e-KRK umożliwia zasadniczo publicznym zamawiającym pozyskanie informacji o konkretnych osobach, jednakże w takim przypadku koniecznym jest złożenie wniosku o udzielenie takiej informacji zawierającego szczegółowe dane (np. nazwisko rodowe osoby, której dotyczy zapytanie), których zamawiający nie będzie posiadał w odniesieniu do osób weryfikowanych co do niekaralności po stronie wykonawcy. W związku z powyższym w przypadku polskiego KRK według aktualnego stanu prawnego  brak jest możliwości pozyskania takiego dokumentu w formie elektronicznej. </w:t>
            </w:r>
          </w:p>
        </w:tc>
      </w:tr>
    </w:tbl>
    <w:p w:rsidR="00025B8E" w:rsidRDefault="00025B8E">
      <w:pPr>
        <w:spacing w:after="0"/>
        <w:ind w:left="-1406" w:right="66"/>
      </w:pPr>
    </w:p>
    <w:tbl>
      <w:tblPr>
        <w:tblStyle w:val="TableGrid"/>
        <w:tblW w:w="13937" w:type="dxa"/>
        <w:tblInd w:w="17" w:type="dxa"/>
        <w:tblCellMar>
          <w:top w:w="9" w:type="dxa"/>
          <w:left w:w="106" w:type="dxa"/>
          <w:right w:w="79" w:type="dxa"/>
        </w:tblCellMar>
        <w:tblLook w:val="04A0" w:firstRow="1" w:lastRow="0" w:firstColumn="1" w:lastColumn="0" w:noHBand="0" w:noVBand="1"/>
      </w:tblPr>
      <w:tblGrid>
        <w:gridCol w:w="4645"/>
        <w:gridCol w:w="4647"/>
        <w:gridCol w:w="4645"/>
      </w:tblGrid>
      <w:tr w:rsidR="00025B8E">
        <w:trPr>
          <w:trHeight w:val="1634"/>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right="26"/>
            </w:pPr>
            <w:r>
              <w:t>W przypadku skazania, czy wykonawca przedsięwziął środki w celu wykazania swojej rzetelności pomimo istnienia odpowiedniej podstawy wykluczenia (</w:t>
            </w:r>
            <w:r>
              <w:rPr>
                <w:rFonts w:ascii="Arial" w:eastAsia="Arial" w:hAnsi="Arial" w:cs="Arial"/>
                <w:sz w:val="20"/>
                <w:vertAlign w:val="superscript"/>
              </w:rPr>
              <w:footnoteReference w:id="18"/>
            </w:r>
            <w:r>
              <w:t>) („samooczyszczenie”</w:t>
            </w:r>
            <w:r>
              <w:rPr>
                <w:rFonts w:ascii="Times New Roman" w:eastAsia="Times New Roman" w:hAnsi="Times New Roman" w:cs="Times New Roman"/>
                <w:sz w:val="24"/>
              </w:rPr>
              <w:t>)</w:t>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86" w:line="261" w:lineRule="auto"/>
            </w:pPr>
            <w:r>
              <w:rPr>
                <w:rFonts w:ascii="Arial" w:eastAsia="Arial" w:hAnsi="Arial" w:cs="Arial"/>
              </w:rPr>
              <w:t xml:space="preserve">Zgodnie z art. 24 ust. 8 ustawy wykonawca, który podlega wykluczeniu na podstawie ust. 1 pkt 13 i 14 oraz pkt 16-20 lub ust. 5, może przedstawić dowody na to, że podjęte przez niego środki są wystarczające do wykazania jego rzetelności, w szczególności udowodnić naprawienie szkody wyrządzonej przestępstwem lub przestępstwem skarbowym, zadośćuczynienie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w:t>
            </w:r>
          </w:p>
          <w:p w:rsidR="00025B8E" w:rsidRDefault="00C13F2C">
            <w:pPr>
              <w:spacing w:after="28"/>
            </w:pPr>
            <w:r>
              <w:rPr>
                <w:rFonts w:ascii="Arial" w:eastAsia="Arial" w:hAnsi="Arial" w:cs="Arial"/>
              </w:rPr>
              <w:t xml:space="preserve">Zamawiający, stosownie do treści art. 24 ust. </w:t>
            </w:r>
          </w:p>
          <w:p w:rsidR="00025B8E" w:rsidRDefault="00C13F2C">
            <w:r>
              <w:rPr>
                <w:rFonts w:ascii="Arial" w:eastAsia="Arial" w:hAnsi="Arial" w:cs="Arial"/>
              </w:rPr>
              <w:t xml:space="preserve">9 ustawy Pzp, uwzględniając wagę i szczególne okoliczności czynu wykonawcy, oceni dowody wykazane przez wykonawcę w formularzu powyżej. Jeżeli uzna je za wystarczające wykonawca nie będzie podlegał wykluczeniu. </w:t>
            </w:r>
          </w:p>
        </w:tc>
      </w:tr>
      <w:tr w:rsidR="00025B8E">
        <w:trPr>
          <w:trHeight w:val="552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Jeżeli tak, proszę opisać przedsięwzięte środki </w:t>
            </w:r>
          </w:p>
          <w:p w:rsidR="00025B8E" w:rsidRDefault="00C13F2C">
            <w:pPr>
              <w:ind w:left="2"/>
            </w:pPr>
            <w:r>
              <w:t>(</w:t>
            </w:r>
            <w:r>
              <w:rPr>
                <w:rFonts w:ascii="Arial" w:eastAsia="Arial" w:hAnsi="Arial" w:cs="Arial"/>
                <w:sz w:val="20"/>
                <w:vertAlign w:val="superscript"/>
              </w:rPr>
              <w:footnoteReference w:id="19"/>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C13F2C">
      <w:pPr>
        <w:pStyle w:val="Nagwek1"/>
        <w:ind w:left="2418"/>
      </w:pPr>
      <w:r>
        <w:rPr>
          <w:sz w:val="22"/>
        </w:rPr>
        <w:lastRenderedPageBreak/>
        <w:t>B:</w:t>
      </w:r>
      <w:r>
        <w:t xml:space="preserve"> </w:t>
      </w:r>
      <w:r>
        <w:rPr>
          <w:sz w:val="22"/>
        </w:rPr>
        <w:t>P</w:t>
      </w:r>
      <w:r>
        <w:t>ODSTAWY ZWIĄZANE Z PŁATNOŚCIĄ PODATKÓW LUB SKŁADEK NA UBEZPIECZENIE SPOŁECZNE</w:t>
      </w:r>
      <w:r>
        <w:rPr>
          <w:sz w:val="22"/>
        </w:rPr>
        <w:t xml:space="preserve"> </w:t>
      </w:r>
    </w:p>
    <w:tbl>
      <w:tblPr>
        <w:tblStyle w:val="TableGrid"/>
        <w:tblW w:w="13937" w:type="dxa"/>
        <w:tblInd w:w="17" w:type="dxa"/>
        <w:tblCellMar>
          <w:top w:w="9" w:type="dxa"/>
          <w:left w:w="106" w:type="dxa"/>
          <w:right w:w="55" w:type="dxa"/>
        </w:tblCellMar>
        <w:tblLook w:val="04A0" w:firstRow="1" w:lastRow="0" w:firstColumn="1" w:lastColumn="0" w:noHBand="0" w:noVBand="1"/>
      </w:tblPr>
      <w:tblGrid>
        <w:gridCol w:w="4645"/>
        <w:gridCol w:w="2324"/>
        <w:gridCol w:w="2323"/>
        <w:gridCol w:w="4645"/>
      </w:tblGrid>
      <w:tr w:rsidR="00025B8E">
        <w:trPr>
          <w:trHeight w:val="862"/>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right="30"/>
            </w:pPr>
            <w:r>
              <w:rPr>
                <w:b/>
              </w:rPr>
              <w:t xml:space="preserve">Płatność podatków lub składek na ubezpieczenie społeczne: </w:t>
            </w:r>
          </w:p>
        </w:tc>
        <w:tc>
          <w:tcPr>
            <w:tcW w:w="2324" w:type="dxa"/>
            <w:tcBorders>
              <w:top w:val="single" w:sz="4" w:space="0" w:color="000000"/>
              <w:left w:val="single" w:sz="4" w:space="0" w:color="000000"/>
              <w:bottom w:val="single" w:sz="4" w:space="0" w:color="000000"/>
              <w:right w:val="nil"/>
            </w:tcBorders>
          </w:tcPr>
          <w:p w:rsidR="00025B8E" w:rsidRDefault="00C13F2C">
            <w:pPr>
              <w:ind w:left="2"/>
            </w:pPr>
            <w:r>
              <w:rPr>
                <w:b/>
              </w:rPr>
              <w:t xml:space="preserve">Odpowiedź: </w:t>
            </w:r>
          </w:p>
        </w:tc>
        <w:tc>
          <w:tcPr>
            <w:tcW w:w="2323" w:type="dxa"/>
            <w:tcBorders>
              <w:top w:val="single" w:sz="4" w:space="0" w:color="000000"/>
              <w:left w:val="nil"/>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 </w:t>
            </w:r>
          </w:p>
        </w:tc>
      </w:tr>
      <w:tr w:rsidR="00025B8E">
        <w:trPr>
          <w:trHeight w:val="5245"/>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right="47"/>
            </w:pPr>
            <w:r>
              <w:t xml:space="preserve">Czy wykonawca wywiązał się ze wszystkich </w:t>
            </w:r>
            <w:r>
              <w:rPr>
                <w:b/>
              </w:rPr>
              <w:t>obowiązków dotyczących płatności podatków lub składek na ubezpieczenie społeczne</w:t>
            </w:r>
            <w:r>
              <w:t xml:space="preserve">, zarówno w państwie, w którym ma siedzibę, jak i w państwie członkowskim instytucji zamawiającej lub podmiotu zamawiającego, jeżeli jest ono inne niż państwo siedziby? </w:t>
            </w:r>
          </w:p>
        </w:tc>
        <w:tc>
          <w:tcPr>
            <w:tcW w:w="2324" w:type="dxa"/>
            <w:tcBorders>
              <w:top w:val="single" w:sz="4" w:space="0" w:color="000000"/>
              <w:left w:val="single" w:sz="4" w:space="0" w:color="000000"/>
              <w:bottom w:val="single" w:sz="4" w:space="0" w:color="000000"/>
              <w:right w:val="nil"/>
            </w:tcBorders>
          </w:tcPr>
          <w:p w:rsidR="00025B8E" w:rsidRDefault="00C13F2C">
            <w:pPr>
              <w:ind w:left="2"/>
            </w:pPr>
            <w:r>
              <w:t xml:space="preserve">[] Tak [] Nie </w:t>
            </w:r>
          </w:p>
        </w:tc>
        <w:tc>
          <w:tcPr>
            <w:tcW w:w="2323" w:type="dxa"/>
            <w:tcBorders>
              <w:top w:val="single" w:sz="4" w:space="0" w:color="000000"/>
              <w:left w:val="nil"/>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90" w:line="265" w:lineRule="auto"/>
              <w:ind w:right="44"/>
            </w:pPr>
            <w:r>
              <w:rPr>
                <w:rFonts w:ascii="Arial" w:eastAsia="Arial" w:hAnsi="Arial" w:cs="Arial"/>
              </w:rPr>
              <w:t xml:space="preserve">W tym miejscu formularza wykonawca składa oświadczenie o wywiązywaniu się z obowiązków publicznoprawnych dotyczących płatności podatków i składek na ubezpieczenia, nienależnie od tego, czy mamy do czynienia z przesłanką obligatoryjną wykluczenia wykonawcy (art. 24 ust. 1 pkt 15 ustawy Pzp), czy też z przesłanką fakultatywną (art. 24 ust. 5 pkt 8 ustawy Pzp). Oczywiście w sytuacji, gdy zmawiający nie dopuścił w postępowaniu przesłanki fakultatywnej oświadczenie wykonawcy dotyczy wyłącznie przesłanki obligatoryjnej. </w:t>
            </w:r>
          </w:p>
          <w:p w:rsidR="00025B8E" w:rsidRDefault="00C13F2C">
            <w:r>
              <w:rPr>
                <w:rFonts w:ascii="Arial" w:eastAsia="Arial" w:hAnsi="Arial" w:cs="Arial"/>
              </w:rPr>
              <w:t xml:space="preserve">Dalszą część formularza dotyczącą płatności podatków i składek na ubezpieczenia wykonawca wypełnia jedynie w sytuacji, gdy w tym miejscu zakreślił odpowiedź „Nie” </w:t>
            </w:r>
          </w:p>
        </w:tc>
      </w:tr>
      <w:tr w:rsidR="00025B8E">
        <w:trPr>
          <w:trHeight w:val="155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8"/>
              <w:ind w:left="2"/>
            </w:pPr>
            <w:r>
              <w:rPr>
                <w:b/>
              </w:rPr>
              <w:t xml:space="preserve"> </w:t>
            </w:r>
          </w:p>
          <w:p w:rsidR="00025B8E" w:rsidRDefault="00C13F2C">
            <w:pPr>
              <w:spacing w:after="161"/>
              <w:ind w:left="2"/>
            </w:pPr>
            <w:r>
              <w:rPr>
                <w:b/>
              </w:rPr>
              <w:t xml:space="preserve"> </w:t>
            </w:r>
          </w:p>
          <w:p w:rsidR="00025B8E" w:rsidRDefault="00C13F2C">
            <w:pPr>
              <w:ind w:left="2"/>
            </w:pPr>
            <w:r>
              <w:rPr>
                <w:b/>
              </w:rPr>
              <w:t xml:space="preserve"> </w:t>
            </w:r>
          </w:p>
        </w:tc>
        <w:tc>
          <w:tcPr>
            <w:tcW w:w="2324"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Podatki</w:t>
            </w:r>
            <w:r>
              <w:rPr>
                <w:b/>
                <w:sz w:val="24"/>
              </w:rPr>
              <w:t xml:space="preserve"> </w:t>
            </w:r>
          </w:p>
        </w:tc>
        <w:tc>
          <w:tcPr>
            <w:tcW w:w="2323"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Składki na ubezpieczenia społeczne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przypadku określonych zaległości publicznoprawnych wykonawca jest zobowiązany do wskazania konkretnych informacji określonych w formularzu JEDZ (określone w lit od a) do d)). </w:t>
            </w:r>
          </w:p>
        </w:tc>
      </w:tr>
    </w:tbl>
    <w:p w:rsidR="00025B8E" w:rsidRDefault="00025B8E">
      <w:pPr>
        <w:spacing w:after="0"/>
        <w:ind w:left="-1406" w:right="66"/>
      </w:pPr>
    </w:p>
    <w:tbl>
      <w:tblPr>
        <w:tblStyle w:val="TableGrid"/>
        <w:tblW w:w="13937" w:type="dxa"/>
        <w:tblInd w:w="17" w:type="dxa"/>
        <w:tblCellMar>
          <w:top w:w="9" w:type="dxa"/>
          <w:left w:w="106" w:type="dxa"/>
          <w:right w:w="59" w:type="dxa"/>
        </w:tblCellMar>
        <w:tblLook w:val="04A0" w:firstRow="1" w:lastRow="0" w:firstColumn="1" w:lastColumn="0" w:noHBand="0" w:noVBand="1"/>
      </w:tblPr>
      <w:tblGrid>
        <w:gridCol w:w="4645"/>
        <w:gridCol w:w="2324"/>
        <w:gridCol w:w="2323"/>
        <w:gridCol w:w="4645"/>
      </w:tblGrid>
      <w:tr w:rsidR="00025B8E">
        <w:trPr>
          <w:trHeight w:val="740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lastRenderedPageBreak/>
              <w:t>Jeżeli nie</w:t>
            </w:r>
            <w:r>
              <w:t xml:space="preserve">, proszę wskazać: </w:t>
            </w:r>
          </w:p>
          <w:p w:rsidR="00025B8E" w:rsidRDefault="00C13F2C">
            <w:pPr>
              <w:numPr>
                <w:ilvl w:val="0"/>
                <w:numId w:val="17"/>
              </w:numPr>
            </w:pPr>
            <w:r>
              <w:t xml:space="preserve">państwo lub państwo członkowskie, którego to dotyczy; </w:t>
            </w:r>
          </w:p>
          <w:p w:rsidR="00025B8E" w:rsidRDefault="00C13F2C">
            <w:pPr>
              <w:numPr>
                <w:ilvl w:val="0"/>
                <w:numId w:val="17"/>
              </w:numPr>
            </w:pPr>
            <w:r>
              <w:t xml:space="preserve">jakiej kwoty to dotyczy? </w:t>
            </w:r>
          </w:p>
          <w:p w:rsidR="00025B8E" w:rsidRDefault="00C13F2C">
            <w:pPr>
              <w:numPr>
                <w:ilvl w:val="0"/>
                <w:numId w:val="17"/>
              </w:numPr>
            </w:pPr>
            <w:r>
              <w:t xml:space="preserve">w jaki sposób zostało ustalone to naruszenie obowiązków: </w:t>
            </w:r>
          </w:p>
          <w:p w:rsidR="00025B8E" w:rsidRDefault="00C13F2C">
            <w:pPr>
              <w:numPr>
                <w:ilvl w:val="0"/>
                <w:numId w:val="18"/>
              </w:numPr>
              <w:spacing w:after="227"/>
              <w:ind w:hanging="230"/>
            </w:pPr>
            <w:r>
              <w:t xml:space="preserve">w trybie </w:t>
            </w:r>
            <w:r>
              <w:rPr>
                <w:b/>
              </w:rPr>
              <w:t>decyzji</w:t>
            </w:r>
            <w:r>
              <w:t xml:space="preserve"> sądowej lub administracyjnej: </w:t>
            </w:r>
          </w:p>
          <w:p w:rsidR="00025B8E" w:rsidRDefault="00C13F2C">
            <w:pPr>
              <w:numPr>
                <w:ilvl w:val="1"/>
                <w:numId w:val="18"/>
              </w:numPr>
              <w:spacing w:after="175" w:line="235" w:lineRule="auto"/>
              <w:ind w:left="1418" w:hanging="566"/>
            </w:pPr>
            <w:r>
              <w:t>Czy ta decyzja jest ostateczna i wiążąca?</w:t>
            </w:r>
            <w:r>
              <w:rPr>
                <w:sz w:val="24"/>
              </w:rPr>
              <w:t xml:space="preserve"> </w:t>
            </w:r>
          </w:p>
          <w:p w:rsidR="00025B8E" w:rsidRDefault="00C13F2C">
            <w:pPr>
              <w:numPr>
                <w:ilvl w:val="1"/>
                <w:numId w:val="18"/>
              </w:numPr>
              <w:spacing w:after="173" w:line="235" w:lineRule="auto"/>
              <w:ind w:left="1418" w:hanging="566"/>
            </w:pPr>
            <w:r>
              <w:t>Proszę podać datę wyroku lub decyzji.</w:t>
            </w:r>
            <w:r>
              <w:rPr>
                <w:sz w:val="24"/>
              </w:rPr>
              <w:t xml:space="preserve"> </w:t>
            </w:r>
          </w:p>
          <w:p w:rsidR="00025B8E" w:rsidRDefault="00C13F2C">
            <w:pPr>
              <w:numPr>
                <w:ilvl w:val="1"/>
                <w:numId w:val="18"/>
              </w:numPr>
              <w:spacing w:after="103" w:line="238" w:lineRule="auto"/>
              <w:ind w:left="1418" w:hanging="566"/>
            </w:pPr>
            <w:r>
              <w:t xml:space="preserve">W przypadku wyroku, </w:t>
            </w:r>
            <w:r>
              <w:rPr>
                <w:b/>
              </w:rPr>
              <w:t>o ile została w nim bezpośrednio określona</w:t>
            </w:r>
            <w:r>
              <w:t>, długość okresu wykluczenia:</w:t>
            </w:r>
            <w:r>
              <w:rPr>
                <w:sz w:val="24"/>
              </w:rPr>
              <w:t xml:space="preserve"> </w:t>
            </w:r>
          </w:p>
          <w:p w:rsidR="00025B8E" w:rsidRDefault="00C13F2C">
            <w:pPr>
              <w:numPr>
                <w:ilvl w:val="0"/>
                <w:numId w:val="18"/>
              </w:numPr>
              <w:spacing w:after="158"/>
              <w:ind w:hanging="230"/>
            </w:pPr>
            <w:r>
              <w:t xml:space="preserve">w </w:t>
            </w:r>
            <w:r>
              <w:rPr>
                <w:b/>
              </w:rPr>
              <w:t>inny sposób</w:t>
            </w:r>
            <w:r>
              <w:t xml:space="preserve">? Proszę sprecyzować, w jaki: </w:t>
            </w:r>
          </w:p>
          <w:p w:rsidR="00025B8E" w:rsidRDefault="00C13F2C">
            <w:pPr>
              <w:ind w:left="2"/>
            </w:pPr>
            <w:r>
              <w:t xml:space="preserve">d) Czy wykonawca spełnił lub spełni swoje obowiązki, dokonując płatności należnych podatków lub składek na ubezpieczenie społeczne, lub też zawierając wiążące porozumienia w celu spłaty tych należności, obejmujące w stosownych przypadkach narosłe odsetki lub grzywny? </w:t>
            </w:r>
          </w:p>
        </w:tc>
        <w:tc>
          <w:tcPr>
            <w:tcW w:w="2324"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numPr>
                <w:ilvl w:val="0"/>
                <w:numId w:val="19"/>
              </w:numPr>
              <w:ind w:hanging="233"/>
            </w:pPr>
            <w:r>
              <w:t xml:space="preserve">[……] </w:t>
            </w:r>
          </w:p>
          <w:p w:rsidR="00025B8E" w:rsidRDefault="00C13F2C">
            <w:pPr>
              <w:numPr>
                <w:ilvl w:val="0"/>
                <w:numId w:val="19"/>
              </w:numPr>
              <w:ind w:hanging="233"/>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spacing w:after="192"/>
              <w:ind w:left="2"/>
            </w:pPr>
            <w:r>
              <w:t xml:space="preserve">c1) [] Tak [] Nie </w:t>
            </w:r>
          </w:p>
          <w:p w:rsidR="00025B8E" w:rsidRDefault="00C13F2C">
            <w:pPr>
              <w:numPr>
                <w:ilvl w:val="0"/>
                <w:numId w:val="20"/>
              </w:numPr>
              <w:spacing w:after="155"/>
              <w:ind w:hanging="850"/>
            </w:pPr>
            <w:r>
              <w:rPr>
                <w:rFonts w:ascii="Times New Roman" w:eastAsia="Times New Roman" w:hAnsi="Times New Roman" w:cs="Times New Roman"/>
              </w:rPr>
              <w:t>[] Tak [] Nie</w:t>
            </w:r>
            <w:r>
              <w:rPr>
                <w:rFonts w:ascii="Times New Roman" w:eastAsia="Times New Roman" w:hAnsi="Times New Roman" w:cs="Times New Roman"/>
                <w:sz w:val="24"/>
              </w:rPr>
              <w:t xml:space="preserve"> </w:t>
            </w:r>
          </w:p>
          <w:p w:rsidR="00025B8E" w:rsidRDefault="00C13F2C">
            <w:pPr>
              <w:numPr>
                <w:ilvl w:val="0"/>
                <w:numId w:val="20"/>
              </w:numPr>
              <w:ind w:hanging="850"/>
            </w:pPr>
            <w:r>
              <w:rPr>
                <w:rFonts w:ascii="Times New Roman" w:eastAsia="Times New Roman" w:hAnsi="Times New Roman" w:cs="Times New Roman"/>
              </w:rPr>
              <w:t xml:space="preserve">[……] </w:t>
            </w:r>
          </w:p>
          <w:p w:rsidR="00025B8E" w:rsidRDefault="00C13F2C">
            <w:pPr>
              <w:spacing w:after="152"/>
              <w:ind w:left="852"/>
            </w:pPr>
            <w:r>
              <w:rPr>
                <w:rFonts w:ascii="Times New Roman" w:eastAsia="Times New Roman" w:hAnsi="Times New Roman" w:cs="Times New Roman"/>
                <w:sz w:val="24"/>
              </w:rPr>
              <w:t xml:space="preserve"> </w:t>
            </w:r>
          </w:p>
          <w:p w:rsidR="00025B8E" w:rsidRDefault="00C13F2C">
            <w:pPr>
              <w:numPr>
                <w:ilvl w:val="0"/>
                <w:numId w:val="20"/>
              </w:numPr>
              <w:ind w:hanging="850"/>
            </w:pPr>
            <w:r>
              <w:rPr>
                <w:rFonts w:ascii="Times New Roman" w:eastAsia="Times New Roman" w:hAnsi="Times New Roman" w:cs="Times New Roman"/>
              </w:rPr>
              <w:t xml:space="preserve">[……] </w:t>
            </w:r>
          </w:p>
          <w:p w:rsidR="00025B8E" w:rsidRDefault="00C13F2C">
            <w:pPr>
              <w:ind w:left="852"/>
            </w:pPr>
            <w:r>
              <w:rPr>
                <w:rFonts w:ascii="Times New Roman" w:eastAsia="Times New Roman" w:hAnsi="Times New Roman" w:cs="Times New Roman"/>
              </w:rPr>
              <w:t xml:space="preserve"> </w:t>
            </w:r>
          </w:p>
          <w:p w:rsidR="00025B8E" w:rsidRDefault="00C13F2C">
            <w:pPr>
              <w:spacing w:after="86"/>
              <w:ind w:left="852"/>
            </w:pPr>
            <w:r>
              <w:rPr>
                <w:rFonts w:ascii="Times New Roman" w:eastAsia="Times New Roman" w:hAnsi="Times New Roman" w:cs="Times New Roman"/>
                <w:sz w:val="24"/>
              </w:rPr>
              <w:t xml:space="preserve"> </w:t>
            </w:r>
          </w:p>
          <w:p w:rsidR="00025B8E" w:rsidRDefault="00C13F2C">
            <w:pPr>
              <w:spacing w:after="158"/>
              <w:ind w:left="2"/>
            </w:pPr>
            <w:r>
              <w:t xml:space="preserve"> </w:t>
            </w:r>
          </w:p>
          <w:p w:rsidR="00025B8E" w:rsidRDefault="00C13F2C">
            <w:pPr>
              <w:spacing w:after="161"/>
              <w:ind w:left="2"/>
            </w:pPr>
            <w:r>
              <w:t xml:space="preserve">c2) [ …] </w:t>
            </w:r>
          </w:p>
          <w:p w:rsidR="00025B8E" w:rsidRDefault="00C13F2C">
            <w:pPr>
              <w:ind w:left="2" w:right="442"/>
            </w:pPr>
            <w:r>
              <w:t xml:space="preserve">d) [] Tak [] Nie </w:t>
            </w:r>
            <w:r>
              <w:rPr>
                <w:b/>
              </w:rPr>
              <w:t>Jeżeli tak</w:t>
            </w:r>
            <w:r>
              <w:t xml:space="preserve">, proszę podać szczegółowe informacje na ten temat:  [……] </w:t>
            </w:r>
          </w:p>
        </w:tc>
        <w:tc>
          <w:tcPr>
            <w:tcW w:w="2323"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p w:rsidR="00025B8E" w:rsidRDefault="00C13F2C">
            <w:pPr>
              <w:numPr>
                <w:ilvl w:val="0"/>
                <w:numId w:val="21"/>
              </w:numPr>
              <w:ind w:hanging="233"/>
            </w:pPr>
            <w:r>
              <w:t xml:space="preserve">[……] </w:t>
            </w:r>
          </w:p>
          <w:p w:rsidR="00025B8E" w:rsidRDefault="00C13F2C">
            <w:pPr>
              <w:numPr>
                <w:ilvl w:val="0"/>
                <w:numId w:val="21"/>
              </w:numPr>
              <w:ind w:hanging="233"/>
            </w:pPr>
            <w:r>
              <w:t xml:space="preserve">[……] </w:t>
            </w:r>
          </w:p>
          <w:p w:rsidR="00025B8E" w:rsidRDefault="00C13F2C">
            <w:r>
              <w:t xml:space="preserve"> </w:t>
            </w:r>
          </w:p>
          <w:p w:rsidR="00025B8E" w:rsidRDefault="00C13F2C">
            <w:r>
              <w:t xml:space="preserve"> </w:t>
            </w:r>
          </w:p>
          <w:p w:rsidR="00025B8E" w:rsidRDefault="00C13F2C">
            <w:r>
              <w:t xml:space="preserve"> </w:t>
            </w:r>
          </w:p>
          <w:p w:rsidR="00025B8E" w:rsidRDefault="00C13F2C">
            <w:pPr>
              <w:spacing w:after="192"/>
            </w:pPr>
            <w:r>
              <w:t xml:space="preserve">c1) [] Tak [] Nie </w:t>
            </w:r>
          </w:p>
          <w:p w:rsidR="00025B8E" w:rsidRDefault="00C13F2C">
            <w:pPr>
              <w:numPr>
                <w:ilvl w:val="0"/>
                <w:numId w:val="22"/>
              </w:numPr>
              <w:spacing w:after="155"/>
              <w:ind w:hanging="850"/>
            </w:pPr>
            <w:r>
              <w:rPr>
                <w:rFonts w:ascii="Times New Roman" w:eastAsia="Times New Roman" w:hAnsi="Times New Roman" w:cs="Times New Roman"/>
              </w:rPr>
              <w:t>[] Tak [] Nie</w:t>
            </w:r>
            <w:r>
              <w:rPr>
                <w:rFonts w:ascii="Times New Roman" w:eastAsia="Times New Roman" w:hAnsi="Times New Roman" w:cs="Times New Roman"/>
                <w:sz w:val="24"/>
              </w:rPr>
              <w:t xml:space="preserve"> </w:t>
            </w:r>
          </w:p>
          <w:p w:rsidR="00025B8E" w:rsidRDefault="00C13F2C">
            <w:pPr>
              <w:numPr>
                <w:ilvl w:val="0"/>
                <w:numId w:val="22"/>
              </w:numPr>
              <w:ind w:hanging="850"/>
            </w:pPr>
            <w:r>
              <w:rPr>
                <w:rFonts w:ascii="Times New Roman" w:eastAsia="Times New Roman" w:hAnsi="Times New Roman" w:cs="Times New Roman"/>
              </w:rPr>
              <w:t xml:space="preserve">[……] </w:t>
            </w:r>
          </w:p>
          <w:p w:rsidR="00025B8E" w:rsidRDefault="00C13F2C">
            <w:pPr>
              <w:spacing w:after="152"/>
              <w:ind w:left="850"/>
            </w:pPr>
            <w:r>
              <w:rPr>
                <w:rFonts w:ascii="Times New Roman" w:eastAsia="Times New Roman" w:hAnsi="Times New Roman" w:cs="Times New Roman"/>
                <w:sz w:val="24"/>
              </w:rPr>
              <w:t xml:space="preserve"> </w:t>
            </w:r>
          </w:p>
          <w:p w:rsidR="00025B8E" w:rsidRDefault="00C13F2C">
            <w:pPr>
              <w:numPr>
                <w:ilvl w:val="0"/>
                <w:numId w:val="22"/>
              </w:numPr>
              <w:ind w:hanging="850"/>
            </w:pPr>
            <w:r>
              <w:rPr>
                <w:rFonts w:ascii="Times New Roman" w:eastAsia="Times New Roman" w:hAnsi="Times New Roman" w:cs="Times New Roman"/>
              </w:rPr>
              <w:t xml:space="preserve">[……] </w:t>
            </w:r>
          </w:p>
          <w:p w:rsidR="00025B8E" w:rsidRDefault="00C13F2C">
            <w:pPr>
              <w:ind w:left="850"/>
            </w:pPr>
            <w:r>
              <w:rPr>
                <w:rFonts w:ascii="Times New Roman" w:eastAsia="Times New Roman" w:hAnsi="Times New Roman" w:cs="Times New Roman"/>
              </w:rPr>
              <w:t xml:space="preserve"> </w:t>
            </w:r>
          </w:p>
          <w:p w:rsidR="00025B8E" w:rsidRDefault="00C13F2C">
            <w:pPr>
              <w:spacing w:after="86"/>
              <w:ind w:left="850"/>
            </w:pPr>
            <w:r>
              <w:rPr>
                <w:rFonts w:ascii="Times New Roman" w:eastAsia="Times New Roman" w:hAnsi="Times New Roman" w:cs="Times New Roman"/>
                <w:sz w:val="24"/>
              </w:rPr>
              <w:t xml:space="preserve"> </w:t>
            </w:r>
          </w:p>
          <w:p w:rsidR="00025B8E" w:rsidRDefault="00C13F2C">
            <w:pPr>
              <w:spacing w:after="158"/>
            </w:pPr>
            <w:r>
              <w:t xml:space="preserve"> </w:t>
            </w:r>
          </w:p>
          <w:p w:rsidR="00025B8E" w:rsidRDefault="00C13F2C">
            <w:pPr>
              <w:spacing w:after="161"/>
            </w:pPr>
            <w:r>
              <w:t xml:space="preserve">c2) [ …] </w:t>
            </w:r>
          </w:p>
          <w:p w:rsidR="00025B8E" w:rsidRDefault="00C13F2C">
            <w:pPr>
              <w:ind w:right="444"/>
            </w:pPr>
            <w:r>
              <w:t xml:space="preserve">d) [] Tak [] Nie </w:t>
            </w:r>
            <w:r>
              <w:rPr>
                <w:b/>
              </w:rPr>
              <w:t>Jeżeli tak</w:t>
            </w:r>
            <w:r>
              <w:t xml:space="preserve">, proszę podać szczegółowe informacje na ten temat:  [……]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9" w:line="258" w:lineRule="auto"/>
            </w:pPr>
            <w:r>
              <w:rPr>
                <w:rFonts w:ascii="Arial" w:eastAsia="Arial" w:hAnsi="Arial" w:cs="Arial"/>
              </w:rPr>
              <w:t xml:space="preserve">Formularz wymaga odrębnego określenia podstaw do wykluczenia dla przesłanki obligatoryjnej z art. 24 ust. 1 pkt 15 ustawy Pzp (pkt 1)) i fakultatywnej z art. 24 ust. 5 pkt 8 ustawy Pzp (pkt 2)). </w:t>
            </w:r>
          </w:p>
          <w:p w:rsidR="00025B8E" w:rsidRDefault="00C13F2C">
            <w:r>
              <w:rPr>
                <w:rFonts w:ascii="Arial" w:eastAsia="Arial" w:hAnsi="Arial" w:cs="Arial"/>
              </w:rPr>
              <w:t xml:space="preserve"> </w:t>
            </w:r>
          </w:p>
          <w:p w:rsidR="00025B8E" w:rsidRDefault="00C13F2C">
            <w:pPr>
              <w:spacing w:after="158"/>
            </w:pPr>
            <w:r>
              <w:rPr>
                <w:rFonts w:ascii="Arial" w:eastAsia="Arial" w:hAnsi="Arial" w:cs="Arial"/>
              </w:rPr>
              <w:t xml:space="preserve"> </w:t>
            </w:r>
          </w:p>
          <w:p w:rsidR="00025B8E" w:rsidRDefault="00C13F2C">
            <w:r>
              <w:rPr>
                <w:rFonts w:ascii="Arial" w:eastAsia="Arial" w:hAnsi="Arial" w:cs="Arial"/>
              </w:rPr>
              <w:t xml:space="preserve"> </w:t>
            </w:r>
          </w:p>
          <w:p w:rsidR="00025B8E" w:rsidRDefault="00C13F2C">
            <w:pPr>
              <w:spacing w:after="158"/>
            </w:pPr>
            <w:r>
              <w:rPr>
                <w:rFonts w:ascii="Arial" w:eastAsia="Arial" w:hAnsi="Arial" w:cs="Arial"/>
              </w:rPr>
              <w:t xml:space="preserve"> </w:t>
            </w:r>
          </w:p>
          <w:p w:rsidR="00025B8E" w:rsidRDefault="00C13F2C">
            <w:r>
              <w:rPr>
                <w:rFonts w:ascii="Arial" w:eastAsia="Arial" w:hAnsi="Arial" w:cs="Arial"/>
              </w:rPr>
              <w:t xml:space="preserve"> </w:t>
            </w:r>
          </w:p>
          <w:p w:rsidR="00025B8E" w:rsidRDefault="00C13F2C">
            <w:pPr>
              <w:spacing w:after="158"/>
            </w:pPr>
            <w:r>
              <w:rPr>
                <w:rFonts w:ascii="Arial" w:eastAsia="Arial" w:hAnsi="Arial" w:cs="Arial"/>
              </w:rPr>
              <w:t xml:space="preserve"> </w:t>
            </w:r>
          </w:p>
          <w:p w:rsidR="00025B8E" w:rsidRDefault="00C13F2C">
            <w:pPr>
              <w:spacing w:after="158"/>
            </w:pPr>
            <w:r>
              <w:rPr>
                <w:rFonts w:ascii="Arial" w:eastAsia="Arial" w:hAnsi="Arial" w:cs="Arial"/>
              </w:rPr>
              <w:t xml:space="preserve"> </w:t>
            </w:r>
          </w:p>
          <w:p w:rsidR="00025B8E" w:rsidRDefault="00C13F2C">
            <w:pPr>
              <w:spacing w:after="161"/>
            </w:pPr>
            <w:r>
              <w:rPr>
                <w:rFonts w:ascii="Arial" w:eastAsia="Arial" w:hAnsi="Arial" w:cs="Arial"/>
              </w:rPr>
              <w:t xml:space="preserve"> </w:t>
            </w:r>
          </w:p>
          <w:p w:rsidR="00025B8E" w:rsidRDefault="00C13F2C">
            <w:pPr>
              <w:spacing w:after="27" w:line="265" w:lineRule="auto"/>
              <w:ind w:right="16"/>
            </w:pPr>
            <w:r>
              <w:rPr>
                <w:rFonts w:ascii="Arial" w:eastAsia="Arial" w:hAnsi="Arial" w:cs="Arial"/>
              </w:rPr>
              <w:t xml:space="preserve">Informacje zawarte w lit. d) odnoszą się do okoliczności związanych z zastosowaniem przez wykonawcę określonych środków naprawczych co do wykazania braku podstaw do wykluczenia  z postępowania w </w:t>
            </w:r>
          </w:p>
          <w:p w:rsidR="00025B8E" w:rsidRDefault="00C13F2C">
            <w:r>
              <w:rPr>
                <w:rFonts w:ascii="Arial" w:eastAsia="Arial" w:hAnsi="Arial" w:cs="Arial"/>
              </w:rPr>
              <w:t xml:space="preserve">oparciu o obydwie przesłanki – tak obligatoryjną, jak i fakultatywną. </w:t>
            </w:r>
          </w:p>
        </w:tc>
      </w:tr>
      <w:tr w:rsidR="00025B8E">
        <w:trPr>
          <w:trHeight w:val="1807"/>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Jeżeli odnośna dokumentacja dotycząca płatności podatków lub składek na ubezpieczenie społeczne jest dostępna w formie elektronicznej, proszę wskazać: </w:t>
            </w:r>
          </w:p>
        </w:tc>
        <w:tc>
          <w:tcPr>
            <w:tcW w:w="4647" w:type="dxa"/>
            <w:gridSpan w:val="2"/>
            <w:tcBorders>
              <w:top w:val="single" w:sz="4" w:space="0" w:color="000000"/>
              <w:left w:val="single" w:sz="4" w:space="0" w:color="000000"/>
              <w:bottom w:val="single" w:sz="4" w:space="0" w:color="000000"/>
              <w:right w:val="single" w:sz="4" w:space="0" w:color="000000"/>
            </w:tcBorders>
          </w:tcPr>
          <w:p w:rsidR="00025B8E" w:rsidRDefault="00C13F2C">
            <w:pPr>
              <w:ind w:left="2"/>
            </w:pPr>
            <w:r>
              <w:t>(adres internetowy, wydający urząd lub organ, dokładne dane referencyjne dokumentacji):</w:t>
            </w:r>
            <w:r>
              <w:rPr>
                <w:vertAlign w:val="superscript"/>
              </w:rPr>
              <w:t xml:space="preserve"> </w:t>
            </w:r>
            <w:r>
              <w:t>(</w:t>
            </w:r>
            <w:r>
              <w:rPr>
                <w:rFonts w:ascii="Arial" w:eastAsia="Arial" w:hAnsi="Arial" w:cs="Arial"/>
                <w:sz w:val="20"/>
                <w:vertAlign w:val="superscript"/>
              </w:rPr>
              <w:footnoteReference w:id="20"/>
            </w:r>
            <w:r>
              <w:t>)</w:t>
            </w:r>
            <w:r>
              <w:rPr>
                <w:vertAlign w:val="superscript"/>
              </w:rPr>
              <w:t xml:space="preserve"> </w:t>
            </w: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Polsce ani administracja podatkowa, ani </w:t>
            </w:r>
          </w:p>
          <w:p w:rsidR="00025B8E" w:rsidRDefault="00C13F2C">
            <w:r>
              <w:rPr>
                <w:rFonts w:ascii="Arial" w:eastAsia="Arial" w:hAnsi="Arial" w:cs="Arial"/>
              </w:rPr>
              <w:t xml:space="preserve">Zakład Ubezpieczeń Społecznych nie umożliwiają podmiotom trzecim, w tym zamawiającym, uzyskania zaświadczeń lub odpowiednich informacji bezpośrednio za pomocą bezpłatnej bazy danych. </w:t>
            </w:r>
          </w:p>
        </w:tc>
      </w:tr>
    </w:tbl>
    <w:p w:rsidR="00025B8E" w:rsidRDefault="00C13F2C">
      <w:pPr>
        <w:spacing w:after="0"/>
        <w:ind w:left="12"/>
      </w:pPr>
      <w:r>
        <w:t xml:space="preserve"> </w:t>
      </w:r>
      <w:r>
        <w:tab/>
      </w:r>
      <w:r>
        <w:rPr>
          <w:rFonts w:ascii="Times New Roman" w:eastAsia="Times New Roman" w:hAnsi="Times New Roman" w:cs="Times New Roman"/>
          <w:b/>
        </w:rPr>
        <w:t xml:space="preserve"> </w:t>
      </w:r>
      <w:r>
        <w:br w:type="page"/>
      </w:r>
    </w:p>
    <w:p w:rsidR="00025B8E" w:rsidRDefault="00C13F2C">
      <w:pPr>
        <w:spacing w:after="99"/>
        <w:ind w:left="10" w:right="1551" w:hanging="10"/>
        <w:jc w:val="right"/>
      </w:pPr>
      <w:r>
        <w:rPr>
          <w:rFonts w:ascii="Times New Roman" w:eastAsia="Times New Roman" w:hAnsi="Times New Roman" w:cs="Times New Roman"/>
          <w:b/>
        </w:rPr>
        <w:lastRenderedPageBreak/>
        <w:t>C:</w:t>
      </w:r>
      <w:r>
        <w:rPr>
          <w:rFonts w:ascii="Times New Roman" w:eastAsia="Times New Roman" w:hAnsi="Times New Roman" w:cs="Times New Roman"/>
          <w:b/>
          <w:sz w:val="18"/>
        </w:rPr>
        <w:t xml:space="preserve"> </w:t>
      </w:r>
      <w:r>
        <w:rPr>
          <w:rFonts w:ascii="Times New Roman" w:eastAsia="Times New Roman" w:hAnsi="Times New Roman" w:cs="Times New Roman"/>
          <w:b/>
        </w:rPr>
        <w:t>P</w:t>
      </w:r>
      <w:r>
        <w:rPr>
          <w:rFonts w:ascii="Times New Roman" w:eastAsia="Times New Roman" w:hAnsi="Times New Roman" w:cs="Times New Roman"/>
          <w:b/>
          <w:sz w:val="18"/>
        </w:rPr>
        <w:t>ODSTAWY ZWIĄZANE Z NIEWYPŁACALNOŚCIĄ</w:t>
      </w:r>
      <w:r>
        <w:rPr>
          <w:rFonts w:ascii="Times New Roman" w:eastAsia="Times New Roman" w:hAnsi="Times New Roman" w:cs="Times New Roman"/>
          <w:b/>
        </w:rPr>
        <w:t>,</w:t>
      </w:r>
      <w:r>
        <w:rPr>
          <w:rFonts w:ascii="Times New Roman" w:eastAsia="Times New Roman" w:hAnsi="Times New Roman" w:cs="Times New Roman"/>
          <w:b/>
          <w:sz w:val="18"/>
        </w:rPr>
        <w:t xml:space="preserve"> KONFLIKTEM INTERESÓW LUB WYKROCZENIAMI ZAWODOWYMI</w:t>
      </w:r>
      <w:r>
        <w:rPr>
          <w:rFonts w:ascii="Arial" w:eastAsia="Arial" w:hAnsi="Arial" w:cs="Arial"/>
          <w:sz w:val="18"/>
          <w:vertAlign w:val="superscript"/>
        </w:rPr>
        <w:t>25</w:t>
      </w:r>
      <w:r>
        <w:rPr>
          <w:rFonts w:ascii="Times New Roman" w:eastAsia="Times New Roman" w:hAnsi="Times New Roman" w:cs="Times New Roman"/>
          <w:b/>
        </w:rPr>
        <w:t xml:space="preserve"> </w:t>
      </w:r>
    </w:p>
    <w:tbl>
      <w:tblPr>
        <w:tblStyle w:val="TableGrid"/>
        <w:tblW w:w="13936" w:type="dxa"/>
        <w:tblInd w:w="18" w:type="dxa"/>
        <w:tblCellMar>
          <w:top w:w="15" w:type="dxa"/>
          <w:left w:w="107" w:type="dxa"/>
          <w:right w:w="52" w:type="dxa"/>
        </w:tblCellMar>
        <w:tblLook w:val="04A0" w:firstRow="1" w:lastRow="0" w:firstColumn="1" w:lastColumn="0" w:noHBand="0" w:noVBand="1"/>
      </w:tblPr>
      <w:tblGrid>
        <w:gridCol w:w="4645"/>
        <w:gridCol w:w="4644"/>
        <w:gridCol w:w="4647"/>
      </w:tblGrid>
      <w:tr w:rsidR="00025B8E">
        <w:trPr>
          <w:trHeight w:val="1618"/>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57"/>
              <w:jc w:val="both"/>
            </w:pPr>
            <w:r>
              <w:rPr>
                <w:b/>
              </w:rPr>
              <w:t xml:space="preserve">Należy zauważyć, że do celów niniejszego zamówienia niektóre z poniższych podstaw wykluczenia mogą być zdefiniowane bardziej precyzyjnie w prawie krajowym, w stosownym ogłoszeniu lub w dokumentach zamówienia. Tak więc prawo krajowe może na przykład stanowić, że pojęcie „poważnego wykroczenia zawodowego” może obejmować kilka różnych postaci zachowania stanowiącego wykroczenie.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tc>
      </w:tr>
      <w:tr w:rsidR="00025B8E">
        <w:trPr>
          <w:trHeight w:val="104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Informacje dotyczące ewentualnej niewypłacalności, konfliktu interesów lub wykroczeń zawodowych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tc>
      </w:tr>
      <w:tr w:rsidR="00025B8E">
        <w:trPr>
          <w:trHeight w:val="497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right="44"/>
            </w:pPr>
            <w:r>
              <w:t xml:space="preserve">Czy wykonawca, </w:t>
            </w:r>
            <w:r>
              <w:rPr>
                <w:b/>
              </w:rPr>
              <w:t>wedle własnej wiedzy</w:t>
            </w:r>
            <w:r>
              <w:t xml:space="preserve">, naruszył </w:t>
            </w:r>
            <w:r>
              <w:rPr>
                <w:b/>
              </w:rPr>
              <w:t>swoje obowiązki</w:t>
            </w:r>
            <w:r>
              <w:t xml:space="preserve"> w dziedzinie </w:t>
            </w:r>
            <w:r>
              <w:rPr>
                <w:b/>
              </w:rPr>
              <w:t xml:space="preserve">prawa środowiska, prawa socjalnego i prawa pracy </w:t>
            </w:r>
          </w:p>
          <w:p w:rsidR="00025B8E" w:rsidRDefault="00C13F2C">
            <w:r>
              <w:t>(</w:t>
            </w:r>
            <w:r>
              <w:rPr>
                <w:rFonts w:ascii="Arial" w:eastAsia="Arial" w:hAnsi="Arial" w:cs="Arial"/>
                <w:b/>
                <w:sz w:val="20"/>
                <w:vertAlign w:val="superscript"/>
              </w:rPr>
              <w:t>26</w:t>
            </w:r>
            <w:r>
              <w:t xml:space="preserve">)?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Tak [] Nie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144" w:line="275" w:lineRule="auto"/>
              <w:ind w:left="1"/>
            </w:pPr>
            <w:r>
              <w:rPr>
                <w:rFonts w:ascii="Arial" w:eastAsia="Arial" w:hAnsi="Arial" w:cs="Arial"/>
              </w:rPr>
              <w:t xml:space="preserve">Wykonawca w tym miejscu formularza składa oświadczenie w zakresie konkretnych podstaw do wykluczenia z postępowania wynikających z dyrektywy i wdrożonych do przepisów ustawy Pzp.  </w:t>
            </w:r>
          </w:p>
          <w:p w:rsidR="00025B8E" w:rsidRDefault="00C13F2C">
            <w:pPr>
              <w:spacing w:after="153" w:line="264" w:lineRule="auto"/>
              <w:ind w:left="1"/>
            </w:pPr>
            <w:r>
              <w:rPr>
                <w:rFonts w:ascii="Arial" w:eastAsia="Arial" w:hAnsi="Arial" w:cs="Arial"/>
              </w:rPr>
              <w:t xml:space="preserve">W ustawie Pzp przewidziano przesłanki obligatoryjne i fakultatywne do badania podstaw wykluczenia wykonawcy z postępowania, które wiążą się  z naruszeniem obowiązków w dziedzinie ochrony środowiska, prawa socjalnego i prawa pracy. </w:t>
            </w:r>
          </w:p>
          <w:p w:rsidR="00025B8E" w:rsidRDefault="00C13F2C">
            <w:pPr>
              <w:ind w:left="1"/>
            </w:pPr>
            <w:r>
              <w:rPr>
                <w:rFonts w:ascii="Arial" w:eastAsia="Arial" w:hAnsi="Arial" w:cs="Arial"/>
              </w:rPr>
              <w:t xml:space="preserve">W ramach przesłanek obligatoryjnych ustawodawca przewidział  w art. 24 ust. 1 pkt 13 i 14 ustawy Pzp podstawy do wykluczenia z postępowania wykonawcy, jeśli osoby występujące po jego stronie zostały ukarane </w:t>
            </w:r>
          </w:p>
        </w:tc>
      </w:tr>
    </w:tbl>
    <w:p w:rsidR="00025B8E" w:rsidRDefault="00C13F2C">
      <w:pPr>
        <w:spacing w:after="0"/>
        <w:ind w:left="12"/>
      </w:pPr>
      <w:r>
        <w:rPr>
          <w:strike/>
        </w:rPr>
        <w:t xml:space="preserve">                                                         </w:t>
      </w:r>
      <w:r>
        <w:t xml:space="preserve"> </w:t>
      </w:r>
    </w:p>
    <w:p w:rsidR="00025B8E" w:rsidRDefault="00C13F2C">
      <w:pPr>
        <w:numPr>
          <w:ilvl w:val="0"/>
          <w:numId w:val="6"/>
        </w:numPr>
        <w:spacing w:after="5" w:line="253" w:lineRule="auto"/>
        <w:ind w:hanging="708"/>
        <w:jc w:val="both"/>
      </w:pPr>
      <w:r>
        <w:rPr>
          <w:sz w:val="16"/>
        </w:rPr>
        <w:t xml:space="preserve">Zob. art. 57 ust. 4 dyrektywy 2014/24/WE. </w:t>
      </w:r>
    </w:p>
    <w:p w:rsidR="00025B8E" w:rsidRDefault="00C13F2C">
      <w:pPr>
        <w:numPr>
          <w:ilvl w:val="0"/>
          <w:numId w:val="6"/>
        </w:numPr>
        <w:spacing w:after="5" w:line="253" w:lineRule="auto"/>
        <w:ind w:hanging="708"/>
        <w:jc w:val="both"/>
      </w:pPr>
      <w:r>
        <w:rPr>
          <w:sz w:val="16"/>
        </w:rPr>
        <w:t xml:space="preserve">O których mowa, do celów niniejszego zamówienia, w prawie krajowym, w stosownym ogłoszeniu lub w dokumentach zamówienia bądź w art. 18 ust. 2 dyrektywy 2014/24/UE. </w:t>
      </w:r>
    </w:p>
    <w:p w:rsidR="00025B8E" w:rsidRDefault="00025B8E">
      <w:pPr>
        <w:spacing w:after="0"/>
        <w:ind w:left="-1406" w:right="66"/>
      </w:pPr>
    </w:p>
    <w:tbl>
      <w:tblPr>
        <w:tblStyle w:val="TableGrid"/>
        <w:tblW w:w="13937" w:type="dxa"/>
        <w:tblInd w:w="17" w:type="dxa"/>
        <w:tblCellMar>
          <w:top w:w="45" w:type="dxa"/>
          <w:left w:w="106" w:type="dxa"/>
          <w:right w:w="65" w:type="dxa"/>
        </w:tblCellMar>
        <w:tblLook w:val="04A0" w:firstRow="1" w:lastRow="0" w:firstColumn="1" w:lastColumn="0" w:noHBand="0" w:noVBand="1"/>
      </w:tblPr>
      <w:tblGrid>
        <w:gridCol w:w="4645"/>
        <w:gridCol w:w="4647"/>
        <w:gridCol w:w="4645"/>
      </w:tblGrid>
      <w:tr w:rsidR="00025B8E">
        <w:trPr>
          <w:trHeight w:val="8858"/>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77" w:line="266" w:lineRule="auto"/>
            </w:pPr>
            <w:r>
              <w:rPr>
                <w:rFonts w:ascii="Arial" w:eastAsia="Arial" w:hAnsi="Arial" w:cs="Arial"/>
              </w:rPr>
              <w:t xml:space="preserve">za przestępstwo, o którym mowa w art. 181188 [przestępstwa przeciwko środowisku] i 218-221 [przestępstwa przeciwko prawom osób wykonujących pracę zarobkową] Kodeksu karnego. </w:t>
            </w:r>
          </w:p>
          <w:p w:rsidR="00025B8E" w:rsidRDefault="00C13F2C">
            <w:pPr>
              <w:spacing w:after="159" w:line="265" w:lineRule="auto"/>
            </w:pPr>
            <w:r>
              <w:rPr>
                <w:rFonts w:ascii="Arial" w:eastAsia="Arial" w:hAnsi="Arial" w:cs="Arial"/>
              </w:rPr>
              <w:t xml:space="preserve">Ponadto mocą art. 24 ust. 1 pkt 13 i 14 ustawy Pzp z postępowania o udzielenie zamówienia publicznego wyklucza się wykonawców, jeżeli osoby występujące po stronie wykonawcy zostały  prawomocnie skazane m.in. za przestępstwo, o którym mowa w art. 9 lub art. 10 ustawy z dnia 15 czerwca 2012 r. o skutkach powierzania wykonywania pracy cudzoziemcom przebywającym wbrew przepisom na terytorium Rzeczypospolitej Polskiej (Dz. U. poz. 769). </w:t>
            </w:r>
          </w:p>
          <w:p w:rsidR="00025B8E" w:rsidRDefault="00C13F2C">
            <w:pPr>
              <w:spacing w:after="153" w:line="264" w:lineRule="auto"/>
            </w:pPr>
            <w:r>
              <w:rPr>
                <w:rFonts w:ascii="Arial" w:eastAsia="Arial" w:hAnsi="Arial" w:cs="Arial"/>
              </w:rPr>
              <w:t xml:space="preserve">Wykluczenie na tej podstawie również jest obowiązkowe. Wykonawca zawsze składa oświadczenie w tym zakresie. </w:t>
            </w:r>
          </w:p>
          <w:p w:rsidR="00025B8E" w:rsidRDefault="00C13F2C">
            <w:pPr>
              <w:spacing w:after="194" w:line="278" w:lineRule="auto"/>
            </w:pPr>
            <w:r>
              <w:rPr>
                <w:rFonts w:ascii="Arial" w:eastAsia="Arial" w:hAnsi="Arial" w:cs="Arial"/>
              </w:rPr>
              <w:t xml:space="preserve">W ramach przesłanek fakultatywnych ustawodawca przewidział w art. 24 ust. 5 pkt 5-7 ustawy Pzp podstawy do wykluczenia z postępowania wykonawcy, jeśli: </w:t>
            </w:r>
          </w:p>
          <w:p w:rsidR="00025B8E" w:rsidRDefault="00C13F2C">
            <w:pPr>
              <w:ind w:left="721" w:hanging="361"/>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t xml:space="preserve">osoby występujące po jego stronie zostały prawomocnie skazane za wykroczenie przeciwko prawom pracownika lub wykroczenie </w:t>
            </w:r>
            <w:r>
              <w:rPr>
                <w:rFonts w:ascii="Arial" w:eastAsia="Arial" w:hAnsi="Arial" w:cs="Arial"/>
              </w:rPr>
              <w:lastRenderedPageBreak/>
              <w:t xml:space="preserve">przeciwko środowisku, jeżeli za jego popełnienie wymierzono karę aresztu, </w:t>
            </w:r>
          </w:p>
        </w:tc>
      </w:tr>
    </w:tbl>
    <w:p w:rsidR="00025B8E" w:rsidRDefault="00025B8E">
      <w:pPr>
        <w:spacing w:after="0"/>
        <w:ind w:left="-1406" w:right="66"/>
      </w:pPr>
    </w:p>
    <w:tbl>
      <w:tblPr>
        <w:tblStyle w:val="TableGrid"/>
        <w:tblW w:w="13937" w:type="dxa"/>
        <w:tblInd w:w="17" w:type="dxa"/>
        <w:tblCellMar>
          <w:top w:w="9" w:type="dxa"/>
          <w:left w:w="106" w:type="dxa"/>
          <w:right w:w="50" w:type="dxa"/>
        </w:tblCellMar>
        <w:tblLook w:val="04A0" w:firstRow="1" w:lastRow="0" w:firstColumn="1" w:lastColumn="0" w:noHBand="0" w:noVBand="1"/>
      </w:tblPr>
      <w:tblGrid>
        <w:gridCol w:w="4645"/>
        <w:gridCol w:w="4647"/>
        <w:gridCol w:w="4645"/>
      </w:tblGrid>
      <w:tr w:rsidR="00025B8E">
        <w:trPr>
          <w:trHeight w:val="6239"/>
        </w:trPr>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38"/>
              <w:ind w:right="49"/>
              <w:jc w:val="center"/>
            </w:pPr>
            <w:r>
              <w:rPr>
                <w:rFonts w:ascii="Arial" w:eastAsia="Arial" w:hAnsi="Arial" w:cs="Arial"/>
              </w:rPr>
              <w:t xml:space="preserve">ograniczenia wolności lub karę </w:t>
            </w:r>
          </w:p>
          <w:p w:rsidR="00025B8E" w:rsidRDefault="00C13F2C">
            <w:pPr>
              <w:spacing w:after="15"/>
              <w:ind w:right="163"/>
              <w:jc w:val="right"/>
            </w:pPr>
            <w:r>
              <w:rPr>
                <w:rFonts w:ascii="Arial" w:eastAsia="Arial" w:hAnsi="Arial" w:cs="Arial"/>
              </w:rPr>
              <w:t xml:space="preserve">grzywny nie niższą niż 3 000 złotych; </w:t>
            </w:r>
          </w:p>
          <w:p w:rsidR="00025B8E" w:rsidRDefault="00C13F2C">
            <w:pPr>
              <w:spacing w:after="154" w:line="263" w:lineRule="auto"/>
              <w:ind w:left="721" w:right="50" w:hanging="361"/>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t xml:space="preserve">wobec wykonawcy wydano  ostateczną decyzję administracyjną o naruszeniu obowiązków wynikających z przepisów prawa pracy, prawa ochrony środowiska lub przepisów o zabezpieczeniu społecznym, jeżeli wymierzono tą decyzją karę pieniężną nie niższą niż 3 000 złotych. </w:t>
            </w:r>
          </w:p>
          <w:p w:rsidR="00025B8E" w:rsidRDefault="00C13F2C">
            <w:pPr>
              <w:spacing w:after="143" w:line="274" w:lineRule="auto"/>
              <w:ind w:right="53"/>
            </w:pPr>
            <w:r>
              <w:rPr>
                <w:rFonts w:ascii="Arial" w:eastAsia="Arial" w:hAnsi="Arial" w:cs="Arial"/>
              </w:rPr>
              <w:t xml:space="preserve">Wskazana powyżej podstawa do wykluczenia  z postępowania ma charakter fakultatywny, tzn. zamawiający może ją przewidzieć do badania wykonawców w treści ogłoszenia o zamówieniu, w specyfikacji istotnych warunków zamówienia lub w zaproszeniu do negocjacji.  </w:t>
            </w:r>
          </w:p>
          <w:p w:rsidR="00025B8E" w:rsidRDefault="00C13F2C">
            <w:r>
              <w:rPr>
                <w:rFonts w:ascii="Arial" w:eastAsia="Arial" w:hAnsi="Arial" w:cs="Arial"/>
              </w:rPr>
              <w:t xml:space="preserve">Wykonawca wypełnia formularz co do tej podstawy tylko, jeśli zamawiający przewidział taką podstawę wykluczenia. </w:t>
            </w:r>
          </w:p>
        </w:tc>
      </w:tr>
      <w:tr w:rsidR="00025B8E">
        <w:trPr>
          <w:trHeight w:val="2741"/>
        </w:trPr>
        <w:tc>
          <w:tcPr>
            <w:tcW w:w="0" w:type="auto"/>
            <w:vMerge/>
            <w:tcBorders>
              <w:top w:val="nil"/>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ind w:left="2"/>
            </w:pPr>
            <w:r>
              <w:rPr>
                <w:b/>
              </w:rPr>
              <w:t>Jeżeli tak</w:t>
            </w:r>
            <w:r>
              <w:t xml:space="preserve">, czy wykonawca przedsięwziął środki w celu wykazania swojej rzetelności pomimo istnienia odpowiedniej podstawy wykluczenia („samooczyszczenie”)? </w:t>
            </w:r>
          </w:p>
          <w:p w:rsidR="00025B8E" w:rsidRDefault="00C13F2C">
            <w:pPr>
              <w:ind w:left="2"/>
            </w:pPr>
            <w:r>
              <w:t xml:space="preserve">[] Tak [] Nie </w:t>
            </w:r>
          </w:p>
          <w:p w:rsidR="00025B8E" w:rsidRDefault="00C13F2C">
            <w:pPr>
              <w:ind w:left="2"/>
            </w:pPr>
            <w:r>
              <w:rPr>
                <w:b/>
              </w:rPr>
              <w:t>Jeżeli tak</w:t>
            </w:r>
            <w:r>
              <w:t xml:space="preserve">, proszę opisać przedsięwzięte środki: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67" w:lineRule="auto"/>
            </w:pPr>
            <w:r>
              <w:rPr>
                <w:rFonts w:ascii="Arial" w:eastAsia="Arial" w:hAnsi="Arial" w:cs="Arial"/>
              </w:rPr>
              <w:t xml:space="preserve">Zgodnie z art. 24 ust. 8 ustawy Pzp wykonawca, który podlega wykluczeniu na podstawie ust. 1 pkt 13 i 14 oraz pkt 16-20 lub ust. 5, może przedstawić dowody na to, że podjęte przez niego środki są </w:t>
            </w:r>
          </w:p>
          <w:p w:rsidR="00025B8E" w:rsidRDefault="00C13F2C">
            <w:pPr>
              <w:spacing w:after="1" w:line="258" w:lineRule="auto"/>
            </w:pPr>
            <w:r>
              <w:rPr>
                <w:rFonts w:ascii="Arial" w:eastAsia="Arial" w:hAnsi="Arial" w:cs="Arial"/>
              </w:rPr>
              <w:t xml:space="preserve">wystarczające do wykazania jego rzetelności, w szczególności udowodnić naprawienie szkody wyrządzonej przestępstwem lub przestępstwem skarbowym, </w:t>
            </w:r>
          </w:p>
          <w:p w:rsidR="00025B8E" w:rsidRDefault="00C13F2C">
            <w:r>
              <w:rPr>
                <w:rFonts w:ascii="Arial" w:eastAsia="Arial" w:hAnsi="Arial" w:cs="Arial"/>
              </w:rPr>
              <w:t xml:space="preserve">zadośćuczynienie za doznaną krzywdę lub </w:t>
            </w:r>
          </w:p>
        </w:tc>
      </w:tr>
    </w:tbl>
    <w:p w:rsidR="00025B8E" w:rsidRDefault="00025B8E">
      <w:pPr>
        <w:spacing w:after="0"/>
        <w:ind w:left="-1406" w:right="66"/>
      </w:pPr>
    </w:p>
    <w:tbl>
      <w:tblPr>
        <w:tblStyle w:val="TableGrid"/>
        <w:tblW w:w="13937" w:type="dxa"/>
        <w:tblInd w:w="17" w:type="dxa"/>
        <w:tblCellMar>
          <w:top w:w="11" w:type="dxa"/>
          <w:left w:w="106" w:type="dxa"/>
          <w:right w:w="50" w:type="dxa"/>
        </w:tblCellMar>
        <w:tblLook w:val="04A0" w:firstRow="1" w:lastRow="0" w:firstColumn="1" w:lastColumn="0" w:noHBand="0" w:noVBand="1"/>
      </w:tblPr>
      <w:tblGrid>
        <w:gridCol w:w="4645"/>
        <w:gridCol w:w="4647"/>
        <w:gridCol w:w="4645"/>
      </w:tblGrid>
      <w:tr w:rsidR="00025B8E">
        <w:trPr>
          <w:trHeight w:val="4697"/>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89" w:line="266" w:lineRule="auto"/>
            </w:pPr>
            <w:r>
              <w:rPr>
                <w:rFonts w:ascii="Arial" w:eastAsia="Arial" w:hAnsi="Arial" w:cs="Arial"/>
              </w:rPr>
              <w:t xml:space="preserve">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w:t>
            </w:r>
          </w:p>
          <w:p w:rsidR="00025B8E" w:rsidRDefault="00C13F2C">
            <w:pPr>
              <w:ind w:right="259"/>
            </w:pPr>
            <w:r>
              <w:rPr>
                <w:rFonts w:ascii="Arial" w:eastAsia="Arial" w:hAnsi="Arial" w:cs="Arial"/>
              </w:rPr>
              <w:t xml:space="preserve">Zamawiający, stosownie do treści  art. 24 ust. 9 ustawy Pzp, uwzględniając wagę i szczególne okoliczności czynu wykonawcy, oceni dowody wykazane przez wykonawcę w formularzu powyżej. Jeżeli uzna je za wystarczające wykonawca nie będzie podlegał wykluczeniu. </w:t>
            </w:r>
          </w:p>
        </w:tc>
      </w:tr>
      <w:tr w:rsidR="00025B8E">
        <w:trPr>
          <w:trHeight w:val="3834"/>
        </w:trPr>
        <w:tc>
          <w:tcPr>
            <w:tcW w:w="4645" w:type="dxa"/>
            <w:tcBorders>
              <w:top w:val="single" w:sz="4" w:space="0" w:color="000000"/>
              <w:left w:val="single" w:sz="4" w:space="0" w:color="000000"/>
              <w:bottom w:val="single" w:sz="4" w:space="0" w:color="000000"/>
              <w:right w:val="single" w:sz="4" w:space="0" w:color="000000"/>
            </w:tcBorders>
            <w:vAlign w:val="center"/>
          </w:tcPr>
          <w:p w:rsidR="00025B8E" w:rsidRDefault="00C13F2C">
            <w:pPr>
              <w:spacing w:after="1" w:line="238" w:lineRule="auto"/>
              <w:ind w:left="2" w:right="1034"/>
            </w:pPr>
            <w:r>
              <w:lastRenderedPageBreak/>
              <w:t xml:space="preserve">Czy wykonawca znajduje się w jednej z następujących sytuacji: a) </w:t>
            </w:r>
            <w:r>
              <w:rPr>
                <w:b/>
              </w:rPr>
              <w:t>zbankrutował</w:t>
            </w:r>
            <w:r>
              <w:t xml:space="preserve">; lub </w:t>
            </w:r>
          </w:p>
          <w:p w:rsidR="00025B8E" w:rsidRDefault="00C13F2C">
            <w:pPr>
              <w:numPr>
                <w:ilvl w:val="0"/>
                <w:numId w:val="23"/>
              </w:numPr>
              <w:spacing w:line="239" w:lineRule="auto"/>
            </w:pPr>
            <w:r>
              <w:rPr>
                <w:b/>
              </w:rPr>
              <w:t>prowadzone jest wobec niego postępowanie upadłościowe</w:t>
            </w:r>
            <w:r>
              <w:t xml:space="preserve"> lub likwidacyjne; lub </w:t>
            </w:r>
          </w:p>
          <w:p w:rsidR="00025B8E" w:rsidRDefault="00C13F2C">
            <w:pPr>
              <w:numPr>
                <w:ilvl w:val="0"/>
                <w:numId w:val="23"/>
              </w:numPr>
            </w:pPr>
            <w:r>
              <w:t xml:space="preserve">zawarł </w:t>
            </w:r>
            <w:r>
              <w:rPr>
                <w:b/>
              </w:rPr>
              <w:t>układ z wierzycielami</w:t>
            </w:r>
            <w:r>
              <w:t xml:space="preserve">; lub </w:t>
            </w:r>
          </w:p>
          <w:p w:rsidR="00025B8E" w:rsidRDefault="00C13F2C">
            <w:pPr>
              <w:numPr>
                <w:ilvl w:val="0"/>
                <w:numId w:val="23"/>
              </w:numPr>
              <w:spacing w:after="15"/>
            </w:pPr>
            <w:r>
              <w:t>znajduje się w innej tego rodzaju sytuacji wynikającej z podobnej procedury przewidzianej w krajowych przepisach ustawowych i wykonawczych (</w:t>
            </w:r>
            <w:r>
              <w:rPr>
                <w:rFonts w:ascii="Arial" w:eastAsia="Arial" w:hAnsi="Arial" w:cs="Arial"/>
                <w:sz w:val="20"/>
                <w:vertAlign w:val="superscript"/>
              </w:rPr>
              <w:footnoteReference w:id="21"/>
            </w:r>
            <w:r>
              <w:t xml:space="preserve">); lub </w:t>
            </w:r>
          </w:p>
          <w:p w:rsidR="00025B8E" w:rsidRDefault="00C13F2C">
            <w:pPr>
              <w:numPr>
                <w:ilvl w:val="0"/>
                <w:numId w:val="23"/>
              </w:numPr>
            </w:pPr>
            <w:r>
              <w:t xml:space="preserve">jego aktywami zarządza likwidator lub sąd; lub </w:t>
            </w:r>
          </w:p>
          <w:p w:rsidR="00025B8E" w:rsidRDefault="00C13F2C">
            <w:pPr>
              <w:numPr>
                <w:ilvl w:val="0"/>
                <w:numId w:val="23"/>
              </w:numPr>
            </w:pPr>
            <w:r>
              <w:t xml:space="preserve">jego działalność gospodarcza jest zawieszona? </w:t>
            </w:r>
          </w:p>
          <w:p w:rsidR="00025B8E" w:rsidRDefault="00C13F2C">
            <w:pPr>
              <w:ind w:left="2"/>
            </w:pPr>
            <w:r>
              <w:rPr>
                <w:b/>
              </w:rPr>
              <w:t>Jeżeli tak:</w:t>
            </w:r>
            <w:r>
              <w:rPr>
                <w:b/>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right="37"/>
            </w:pPr>
            <w:r>
              <w:rPr>
                <w:rFonts w:ascii="Arial" w:eastAsia="Arial" w:hAnsi="Arial" w:cs="Arial"/>
              </w:rPr>
              <w:t xml:space="preserve">Na mocy art. 24 ust. 5 pkt 1 ustawy Pzp zamawiający może wykluczyć z postępowania o udzielenie zamówienia publicznego 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t>
            </w:r>
          </w:p>
        </w:tc>
      </w:tr>
    </w:tbl>
    <w:p w:rsidR="00025B8E" w:rsidRDefault="00025B8E">
      <w:pPr>
        <w:spacing w:after="0"/>
        <w:ind w:left="-1406" w:right="66"/>
      </w:pPr>
    </w:p>
    <w:tbl>
      <w:tblPr>
        <w:tblStyle w:val="TableGrid"/>
        <w:tblW w:w="13937" w:type="dxa"/>
        <w:tblInd w:w="17" w:type="dxa"/>
        <w:tblCellMar>
          <w:top w:w="48" w:type="dxa"/>
          <w:left w:w="106" w:type="dxa"/>
          <w:right w:w="59" w:type="dxa"/>
        </w:tblCellMar>
        <w:tblLook w:val="04A0" w:firstRow="1" w:lastRow="0" w:firstColumn="1" w:lastColumn="0" w:noHBand="0" w:noVBand="1"/>
      </w:tblPr>
      <w:tblGrid>
        <w:gridCol w:w="4645"/>
        <w:gridCol w:w="4647"/>
        <w:gridCol w:w="4645"/>
      </w:tblGrid>
      <w:tr w:rsidR="00025B8E">
        <w:trPr>
          <w:trHeight w:val="747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numPr>
                <w:ilvl w:val="0"/>
                <w:numId w:val="24"/>
              </w:numPr>
              <w:spacing w:after="147"/>
              <w:ind w:hanging="850"/>
            </w:pPr>
            <w:r>
              <w:lastRenderedPageBreak/>
              <w:t>Proszę podać szczegółowe informacje:</w:t>
            </w:r>
            <w:r>
              <w:rPr>
                <w:sz w:val="24"/>
              </w:rPr>
              <w:t xml:space="preserve"> </w:t>
            </w:r>
          </w:p>
          <w:p w:rsidR="00025B8E" w:rsidRDefault="00C13F2C">
            <w:pPr>
              <w:numPr>
                <w:ilvl w:val="0"/>
                <w:numId w:val="24"/>
              </w:numPr>
              <w:spacing w:after="110" w:line="244" w:lineRule="auto"/>
              <w:ind w:hanging="850"/>
            </w:pPr>
            <w:r>
              <w:t xml:space="preserve">Proszę podać powody, które pomimo powyższej </w:t>
            </w:r>
            <w:r>
              <w:tab/>
              <w:t xml:space="preserve">sytuacji </w:t>
            </w:r>
            <w:r>
              <w:tab/>
              <w:t xml:space="preserve">umożliwiają realizację </w:t>
            </w:r>
            <w:r>
              <w:tab/>
              <w:t xml:space="preserve">zamówienia, </w:t>
            </w:r>
            <w:r>
              <w:tab/>
              <w:t xml:space="preserve">z uwzględnieniem </w:t>
            </w:r>
            <w:r>
              <w:tab/>
              <w:t>mających zastosowanie przepisów krajowych i środków dotyczących kontynuowania działalności gospodarczej (</w:t>
            </w:r>
            <w:r>
              <w:rPr>
                <w:rFonts w:ascii="Arial" w:eastAsia="Arial" w:hAnsi="Arial" w:cs="Arial"/>
                <w:sz w:val="20"/>
                <w:vertAlign w:val="superscript"/>
              </w:rPr>
              <w:footnoteReference w:id="22"/>
            </w:r>
            <w:r>
              <w:t>)?</w:t>
            </w:r>
            <w:r>
              <w:rPr>
                <w:sz w:val="24"/>
              </w:rPr>
              <w:t xml:space="preserve"> </w:t>
            </w:r>
          </w:p>
          <w:p w:rsidR="00025B8E" w:rsidRDefault="00C13F2C">
            <w:pPr>
              <w:ind w:left="2"/>
            </w:pPr>
            <w:r>
              <w:t>Jeżeli odnośna dokumentacja jest dostępna w formie elektronicznej, proszę wskazać:</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numPr>
                <w:ilvl w:val="0"/>
                <w:numId w:val="25"/>
              </w:numPr>
              <w:spacing w:after="154"/>
              <w:ind w:hanging="850"/>
            </w:pPr>
            <w:r>
              <w:rPr>
                <w:rFonts w:ascii="Times New Roman" w:eastAsia="Times New Roman" w:hAnsi="Times New Roman" w:cs="Times New Roman"/>
              </w:rPr>
              <w:t>[……]</w:t>
            </w:r>
            <w:r>
              <w:rPr>
                <w:rFonts w:ascii="Times New Roman" w:eastAsia="Times New Roman" w:hAnsi="Times New Roman" w:cs="Times New Roman"/>
                <w:sz w:val="24"/>
              </w:rPr>
              <w:t xml:space="preserve"> </w:t>
            </w:r>
          </w:p>
          <w:p w:rsidR="00025B8E" w:rsidRDefault="00C13F2C">
            <w:pPr>
              <w:numPr>
                <w:ilvl w:val="0"/>
                <w:numId w:val="25"/>
              </w:numPr>
              <w:ind w:hanging="850"/>
            </w:pPr>
            <w:r>
              <w:rPr>
                <w:rFonts w:ascii="Times New Roman" w:eastAsia="Times New Roman" w:hAnsi="Times New Roman" w:cs="Times New Roman"/>
              </w:rPr>
              <w:t xml:space="preserve">[……] </w:t>
            </w:r>
          </w:p>
          <w:p w:rsidR="00025B8E" w:rsidRDefault="00C13F2C">
            <w:pPr>
              <w:ind w:left="852"/>
            </w:pPr>
            <w:r>
              <w:rPr>
                <w:rFonts w:ascii="Times New Roman" w:eastAsia="Times New Roman" w:hAnsi="Times New Roman" w:cs="Times New Roman"/>
              </w:rPr>
              <w:t xml:space="preserve"> </w:t>
            </w:r>
          </w:p>
          <w:p w:rsidR="00025B8E" w:rsidRDefault="00C13F2C">
            <w:pPr>
              <w:ind w:left="852"/>
            </w:pPr>
            <w:r>
              <w:rPr>
                <w:rFonts w:ascii="Times New Roman" w:eastAsia="Times New Roman" w:hAnsi="Times New Roman" w:cs="Times New Roman"/>
              </w:rPr>
              <w:t xml:space="preserve"> </w:t>
            </w:r>
          </w:p>
          <w:p w:rsidR="00025B8E" w:rsidRDefault="00C13F2C">
            <w:pPr>
              <w:ind w:left="852"/>
            </w:pPr>
            <w:r>
              <w:rPr>
                <w:rFonts w:ascii="Times New Roman" w:eastAsia="Times New Roman" w:hAnsi="Times New Roman" w:cs="Times New Roman"/>
                <w:sz w:val="24"/>
              </w:rPr>
              <w:t xml:space="preserve"> </w:t>
            </w:r>
          </w:p>
          <w:p w:rsidR="00025B8E" w:rsidRDefault="00C13F2C">
            <w:pPr>
              <w:ind w:left="852"/>
            </w:pPr>
            <w:r>
              <w:rPr>
                <w:rFonts w:ascii="Times New Roman" w:eastAsia="Times New Roman" w:hAnsi="Times New Roman" w:cs="Times New Roman"/>
                <w:sz w:val="24"/>
              </w:rPr>
              <w:t xml:space="preserve"> </w:t>
            </w:r>
          </w:p>
          <w:p w:rsidR="00025B8E" w:rsidRDefault="00C13F2C">
            <w:pPr>
              <w:ind w:left="852"/>
            </w:pPr>
            <w:r>
              <w:rPr>
                <w:rFonts w:ascii="Times New Roman" w:eastAsia="Times New Roman" w:hAnsi="Times New Roman" w:cs="Times New Roman"/>
                <w:sz w:val="24"/>
              </w:rPr>
              <w:t xml:space="preserve"> </w:t>
            </w:r>
          </w:p>
          <w:p w:rsidR="00025B8E" w:rsidRDefault="00C13F2C">
            <w:pPr>
              <w:spacing w:after="87"/>
              <w:ind w:left="852"/>
            </w:pPr>
            <w:r>
              <w:rPr>
                <w:rFonts w:ascii="Times New Roman" w:eastAsia="Times New Roman" w:hAnsi="Times New Roman" w:cs="Times New Roman"/>
                <w:sz w:val="24"/>
              </w:rPr>
              <w:t xml:space="preserve"> </w:t>
            </w:r>
          </w:p>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4" w:line="262" w:lineRule="auto"/>
            </w:pPr>
            <w:r>
              <w:rPr>
                <w:rFonts w:ascii="Arial" w:eastAsia="Arial" w:hAnsi="Arial" w:cs="Arial"/>
              </w:rPr>
              <w:t xml:space="preserve">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w:t>
            </w:r>
          </w:p>
          <w:p w:rsidR="00025B8E" w:rsidRDefault="00C13F2C">
            <w:pPr>
              <w:spacing w:after="147" w:line="269" w:lineRule="auto"/>
              <w:ind w:right="32"/>
            </w:pPr>
            <w:r>
              <w:rPr>
                <w:rFonts w:ascii="Arial" w:eastAsia="Arial" w:hAnsi="Arial" w:cs="Arial"/>
              </w:rPr>
              <w:t xml:space="preserve">Wskazana podstawa do wykluczenia  z postępowania ma charakter fakultatywny, tzn. zamawiający może ją przewidzieć do badania wykonawców w treści ogłoszenia o zamówieniu, w specyfikacji istotnych warunków zamówienia lub w zaproszeniu do negocjacji.  </w:t>
            </w:r>
          </w:p>
          <w:p w:rsidR="00025B8E" w:rsidRDefault="00C13F2C">
            <w:pPr>
              <w:spacing w:after="151" w:line="277" w:lineRule="auto"/>
            </w:pPr>
            <w:r>
              <w:rPr>
                <w:rFonts w:ascii="Arial" w:eastAsia="Arial" w:hAnsi="Arial" w:cs="Arial"/>
              </w:rPr>
              <w:t xml:space="preserve">Wykonawca wypełnia formularz w tym zakresie tylko, jeśli zamawiający przewidział taką podstawę wykluczenia. </w:t>
            </w:r>
          </w:p>
          <w:p w:rsidR="00025B8E" w:rsidRDefault="00C13F2C">
            <w:r>
              <w:rPr>
                <w:rFonts w:ascii="Arial" w:eastAsia="Arial" w:hAnsi="Arial" w:cs="Arial"/>
              </w:rPr>
              <w:t xml:space="preserve">Szczegółowe pytania zawarte w tym zakresie w formularzu JEDZ należy oceniać przez pryzmat w/w podstawy do wykluczenia wykonawcy z postępowania, określonej w ustawie Pzp  </w:t>
            </w:r>
          </w:p>
        </w:tc>
      </w:tr>
    </w:tbl>
    <w:p w:rsidR="00025B8E" w:rsidRDefault="00025B8E">
      <w:pPr>
        <w:spacing w:after="0"/>
        <w:ind w:left="-1406" w:right="66"/>
      </w:pPr>
    </w:p>
    <w:tbl>
      <w:tblPr>
        <w:tblStyle w:val="TableGrid"/>
        <w:tblW w:w="13937" w:type="dxa"/>
        <w:tblInd w:w="17" w:type="dxa"/>
        <w:tblCellMar>
          <w:top w:w="46" w:type="dxa"/>
          <w:left w:w="106" w:type="dxa"/>
          <w:right w:w="55" w:type="dxa"/>
        </w:tblCellMar>
        <w:tblLook w:val="04A0" w:firstRow="1" w:lastRow="0" w:firstColumn="1" w:lastColumn="0" w:noHBand="0" w:noVBand="1"/>
      </w:tblPr>
      <w:tblGrid>
        <w:gridCol w:w="4645"/>
        <w:gridCol w:w="4647"/>
        <w:gridCol w:w="4645"/>
      </w:tblGrid>
      <w:tr w:rsidR="00025B8E">
        <w:trPr>
          <w:trHeight w:val="8267"/>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5" w:line="249" w:lineRule="auto"/>
              <w:ind w:left="2"/>
            </w:pPr>
            <w:r>
              <w:lastRenderedPageBreak/>
              <w:t xml:space="preserve">Czy wykonawca jest winien </w:t>
            </w:r>
            <w:r>
              <w:rPr>
                <w:b/>
              </w:rPr>
              <w:t xml:space="preserve">poważnego wykroczenia zawodowego </w:t>
            </w:r>
            <w:r>
              <w:t>(</w:t>
            </w:r>
            <w:r>
              <w:rPr>
                <w:rFonts w:ascii="Arial" w:eastAsia="Arial" w:hAnsi="Arial" w:cs="Arial"/>
                <w:b/>
                <w:sz w:val="20"/>
                <w:vertAlign w:val="superscript"/>
              </w:rPr>
              <w:footnoteReference w:id="23"/>
            </w:r>
            <w:r>
              <w:t xml:space="preserve">)?  </w:t>
            </w:r>
          </w:p>
          <w:p w:rsidR="00025B8E" w:rsidRDefault="00C13F2C">
            <w:pPr>
              <w:ind w:left="2"/>
            </w:pPr>
            <w:r>
              <w:t>Jeżeli tak, proszę podać szczegółowe informacje na ten temat:</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0" w:line="266" w:lineRule="auto"/>
            </w:pPr>
            <w:r>
              <w:rPr>
                <w:rFonts w:ascii="Arial" w:eastAsia="Arial" w:hAnsi="Arial" w:cs="Arial"/>
              </w:rPr>
              <w:t xml:space="preserve">W tym miejscu formularza wykonawca składa oświadczenie o zaistnieniu bądź braku zaistnienia wobec niego podstawy wykluczenia dotyczącej poważnego wykroczenia zawodowego.  </w:t>
            </w:r>
          </w:p>
          <w:p w:rsidR="00025B8E" w:rsidRDefault="00C13F2C">
            <w:pPr>
              <w:spacing w:after="154" w:line="265" w:lineRule="auto"/>
              <w:ind w:right="47"/>
            </w:pPr>
            <w:r>
              <w:rPr>
                <w:rFonts w:ascii="Arial" w:eastAsia="Arial" w:hAnsi="Arial" w:cs="Arial"/>
              </w:rPr>
              <w:t>„Poważne wykroczenie zawodowe” na gruncie prawa unijnego rozumiane jest szeroko i obejmuje wszelkie zawinione uchybienia, które wpływają na wiarygodność zawodową danego wykonawcy, w tym naruszenia norm deontologicznych obowiązujących w zawodzie wykonywanym przez wykonawcę, które stwierdzane są przez organ dyscyplinarny ustanowiony dla tego zawodu lub w prawomocnym orzeczeniu sądowym.</w:t>
            </w:r>
            <w:r>
              <w:rPr>
                <w:rFonts w:ascii="Segoe UI Symbol" w:eastAsia="Segoe UI Symbol" w:hAnsi="Segoe UI Symbol" w:cs="Segoe UI Symbol"/>
                <w:vertAlign w:val="superscript"/>
              </w:rPr>
              <w:t></w:t>
            </w:r>
            <w:r>
              <w:rPr>
                <w:rFonts w:ascii="Arial" w:eastAsia="Arial" w:hAnsi="Arial" w:cs="Arial"/>
              </w:rPr>
              <w:t xml:space="preserve"> W tym kontekście należy uznać, że pojęcie „poważnego wykroczenia zawodowego” obejmuje także przestępstwa, stwierdzone prawomocnym wyrokiem, które mogą mieć wpływ na wiarygodność zawodową wykonawcy. </w:t>
            </w:r>
          </w:p>
          <w:p w:rsidR="00025B8E" w:rsidRDefault="00C13F2C">
            <w:r>
              <w:rPr>
                <w:rFonts w:ascii="Arial" w:eastAsia="Arial" w:hAnsi="Arial" w:cs="Arial"/>
              </w:rPr>
              <w:t xml:space="preserve">Na podstawie art. 24 ust. 5 pkt 2 ustawy zamawiający może wykluczyć z postępowania o udzielenie zamówienia publicznego wykonawcę, który w sposób zawiniony poważnie naruszył obowiązki zawodowe, co podważa jego uczciwość, w szczególności, gdy wykonawca w wyniku zamierzonego działania lub rażącego </w:t>
            </w:r>
          </w:p>
        </w:tc>
      </w:tr>
    </w:tbl>
    <w:p w:rsidR="00025B8E" w:rsidRDefault="00025B8E">
      <w:pPr>
        <w:spacing w:after="0"/>
        <w:ind w:left="-1406" w:right="66"/>
      </w:pPr>
    </w:p>
    <w:tbl>
      <w:tblPr>
        <w:tblStyle w:val="TableGrid"/>
        <w:tblW w:w="13937" w:type="dxa"/>
        <w:tblInd w:w="17" w:type="dxa"/>
        <w:tblCellMar>
          <w:top w:w="9" w:type="dxa"/>
          <w:left w:w="106" w:type="dxa"/>
          <w:right w:w="51" w:type="dxa"/>
        </w:tblCellMar>
        <w:tblLook w:val="04A0" w:firstRow="1" w:lastRow="0" w:firstColumn="1" w:lastColumn="0" w:noHBand="0" w:noVBand="1"/>
      </w:tblPr>
      <w:tblGrid>
        <w:gridCol w:w="4645"/>
        <w:gridCol w:w="4647"/>
        <w:gridCol w:w="4645"/>
      </w:tblGrid>
      <w:tr w:rsidR="00025B8E">
        <w:trPr>
          <w:trHeight w:val="4313"/>
        </w:trPr>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36" w:line="282" w:lineRule="auto"/>
            </w:pPr>
            <w:r>
              <w:rPr>
                <w:rFonts w:ascii="Arial" w:eastAsia="Arial" w:hAnsi="Arial" w:cs="Arial"/>
              </w:rPr>
              <w:t xml:space="preserve">niedbalstwa nie wykonał lub nienależycie wykonał zamówienie publiczne, co zamawiający jest w stanie wykazać za pomocą stosownych środków dowodowych. </w:t>
            </w:r>
          </w:p>
          <w:p w:rsidR="00025B8E" w:rsidRDefault="00C13F2C">
            <w:pPr>
              <w:spacing w:after="150" w:line="269" w:lineRule="auto"/>
              <w:ind w:right="40"/>
            </w:pPr>
            <w:r>
              <w:rPr>
                <w:rFonts w:ascii="Arial" w:eastAsia="Arial" w:hAnsi="Arial" w:cs="Arial"/>
              </w:rPr>
              <w:t xml:space="preserve">Wskazana podstawa do wykluczenia  z postępowania ma charakter fakultatywny, tzn. zamawiający może ją przewidzieć do badania wykonawców w treści ogłoszenia o zamówieniu, w specyfikacji istotnych warunków zamówienia lub w zaproszeniu do negocjacji.  </w:t>
            </w:r>
          </w:p>
          <w:p w:rsidR="00025B8E" w:rsidRDefault="00C13F2C">
            <w:r>
              <w:rPr>
                <w:rFonts w:ascii="Arial" w:eastAsia="Arial" w:hAnsi="Arial" w:cs="Arial"/>
              </w:rPr>
              <w:t xml:space="preserve">Wykonawca wypełnia formularz w tym zakresie tylko, jeśli zamawiający przewidział taką podstawę wykluczenia. </w:t>
            </w:r>
          </w:p>
        </w:tc>
      </w:tr>
      <w:tr w:rsidR="00025B8E">
        <w:trPr>
          <w:trHeight w:val="4652"/>
        </w:trPr>
        <w:tc>
          <w:tcPr>
            <w:tcW w:w="0" w:type="auto"/>
            <w:vMerge/>
            <w:tcBorders>
              <w:top w:val="nil"/>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3" w:line="256" w:lineRule="auto"/>
              <w:ind w:left="2"/>
            </w:pPr>
            <w:r>
              <w:rPr>
                <w:b/>
              </w:rPr>
              <w:t>Jeżeli tak</w:t>
            </w:r>
            <w:r>
              <w:t xml:space="preserve">, czy wykonawca przedsięwziął środki w celu samooczyszczenia?  </w:t>
            </w:r>
          </w:p>
          <w:p w:rsidR="00025B8E" w:rsidRDefault="00C13F2C">
            <w:pPr>
              <w:ind w:left="2"/>
            </w:pPr>
            <w:r>
              <w:t xml:space="preserve">[] Tak [] Nie </w:t>
            </w:r>
          </w:p>
          <w:p w:rsidR="00025B8E" w:rsidRDefault="00C13F2C">
            <w:pPr>
              <w:ind w:left="2"/>
            </w:pPr>
            <w:r>
              <w:rPr>
                <w:b/>
              </w:rPr>
              <w:t>Jeżeli tak</w:t>
            </w:r>
            <w:r>
              <w:t xml:space="preserve">, proszę opisać przedsięwzięte środki: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27" w:line="267" w:lineRule="auto"/>
            </w:pPr>
            <w:r>
              <w:rPr>
                <w:rFonts w:ascii="Arial" w:eastAsia="Arial" w:hAnsi="Arial" w:cs="Arial"/>
              </w:rPr>
              <w:t xml:space="preserve">Zgodnie z art. 24 ust. 8 ustawy Pzp wykonawca, który podlega wykluczeniu na podstawie ust. 1 pkt 13 i 14 oraz pkt 16-20 lub ust. 5, może przedstawić dowody na to, że podjęte przez niego środki są </w:t>
            </w:r>
          </w:p>
          <w:p w:rsidR="00025B8E" w:rsidRDefault="00C13F2C">
            <w:r>
              <w:rPr>
                <w:rFonts w:ascii="Arial" w:eastAsia="Arial" w:hAnsi="Arial" w:cs="Arial"/>
              </w:rPr>
              <w:t xml:space="preserve">wystarczające do wykazania jego rzetelności, w szczególności udowodnić naprawienie szkody wyrządzonej przestępstwem lub przestępstwem skarbowym, </w:t>
            </w:r>
          </w:p>
          <w:p w:rsidR="00025B8E" w:rsidRDefault="00C13F2C">
            <w:r>
              <w:rPr>
                <w:rFonts w:ascii="Arial" w:eastAsia="Arial" w:hAnsi="Arial" w:cs="Arial"/>
              </w:rPr>
              <w:t xml:space="preserve">zadośćuczynienie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w:t>
            </w:r>
          </w:p>
        </w:tc>
      </w:tr>
    </w:tbl>
    <w:p w:rsidR="00025B8E" w:rsidRDefault="00025B8E">
      <w:pPr>
        <w:spacing w:after="0"/>
        <w:ind w:left="-1406" w:right="66"/>
      </w:pPr>
    </w:p>
    <w:tbl>
      <w:tblPr>
        <w:tblStyle w:val="TableGrid"/>
        <w:tblW w:w="13937" w:type="dxa"/>
        <w:tblInd w:w="17" w:type="dxa"/>
        <w:tblCellMar>
          <w:top w:w="11" w:type="dxa"/>
          <w:left w:w="106" w:type="dxa"/>
          <w:right w:w="55" w:type="dxa"/>
        </w:tblCellMar>
        <w:tblLook w:val="04A0" w:firstRow="1" w:lastRow="0" w:firstColumn="1" w:lastColumn="0" w:noHBand="0" w:noVBand="1"/>
      </w:tblPr>
      <w:tblGrid>
        <w:gridCol w:w="4645"/>
        <w:gridCol w:w="4647"/>
        <w:gridCol w:w="4645"/>
      </w:tblGrid>
      <w:tr w:rsidR="00025B8E">
        <w:trPr>
          <w:trHeight w:val="2787"/>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7" w:line="295" w:lineRule="auto"/>
            </w:pPr>
            <w:r>
              <w:rPr>
                <w:rFonts w:ascii="Arial" w:eastAsia="Arial" w:hAnsi="Arial" w:cs="Arial"/>
              </w:rPr>
              <w:t xml:space="preserve">skarbowym lub nieprawidłowemu postępowaniu wykonawcy.  </w:t>
            </w:r>
          </w:p>
          <w:p w:rsidR="00025B8E" w:rsidRDefault="00C13F2C">
            <w:pPr>
              <w:ind w:right="255"/>
            </w:pPr>
            <w:r>
              <w:rPr>
                <w:rFonts w:ascii="Arial" w:eastAsia="Arial" w:hAnsi="Arial" w:cs="Arial"/>
              </w:rPr>
              <w:t xml:space="preserve">Zamawiający, stosownie do treści  art. 24 ust. 9 ustawy Pzp, uwzględniając wagę i szczególne okoliczności czynu wykonawcy, oceni dowody wykazane przez wykonawcę w formularzu powyżej. Jeżeli uzna je za wystarczające wykonawca nie będzie podlegał wykluczeniu. </w:t>
            </w:r>
          </w:p>
        </w:tc>
      </w:tr>
      <w:tr w:rsidR="00025B8E">
        <w:trPr>
          <w:trHeight w:val="4971"/>
        </w:trPr>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line="239" w:lineRule="auto"/>
              <w:ind w:left="2"/>
            </w:pPr>
            <w:r>
              <w:lastRenderedPageBreak/>
              <w:t xml:space="preserve">Czy wykonawca zawarł z innymi wykonawcami </w:t>
            </w:r>
            <w:r>
              <w:rPr>
                <w:b/>
              </w:rPr>
              <w:t>porozumienia mające na celu zakłócenie konkurencji</w:t>
            </w:r>
            <w:r>
              <w:t xml:space="preserve">? </w:t>
            </w:r>
          </w:p>
          <w:p w:rsidR="00025B8E" w:rsidRDefault="00C13F2C">
            <w:pPr>
              <w:ind w:left="2"/>
              <w:jc w:val="both"/>
            </w:pPr>
            <w:r>
              <w:rPr>
                <w:b/>
              </w:rPr>
              <w:t>Jeżeli tak</w:t>
            </w:r>
            <w:r>
              <w:t>, proszę podać szczegółowe informacje na ten temat:</w:t>
            </w:r>
            <w:r>
              <w:rPr>
                <w:sz w:val="24"/>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8" w:line="264" w:lineRule="auto"/>
            </w:pPr>
            <w:r>
              <w:rPr>
                <w:rFonts w:ascii="Arial" w:eastAsia="Arial" w:hAnsi="Arial" w:cs="Arial"/>
              </w:rPr>
              <w:t xml:space="preserve">W tym miejscu formularza wykonawca składa oświadczenie co do nieuprawnionego porozumienia, zawartego przez niego w tym bądź innym postępowaniu o udzielenie zamówienia publicznego, które to porozumienie prowadzi do zakłócenia uczciwej konkurencji </w:t>
            </w:r>
          </w:p>
          <w:p w:rsidR="00025B8E" w:rsidRDefault="00C13F2C">
            <w:r>
              <w:rPr>
                <w:rFonts w:ascii="Arial" w:eastAsia="Arial" w:hAnsi="Arial" w:cs="Arial"/>
              </w:rPr>
              <w:t xml:space="preserve">Mocą art. 24 ust. 1 pkt 20 ustawy Pzp ustawodawca wprowadził obligatoryjną przesłankę do wykluczenia z postępowania o udzielenie zamówienia publicznego wykonawcy, jeżeli ten z innymi wykonawcami zawarł porozumienie mające na celu zakłócenie konkurencji między wykonawcami w postępowaniu o udzielenie zamówienia, co zamawiający jest w stanie wykazać za pomocą stosownych środków dowodowych. </w:t>
            </w:r>
          </w:p>
        </w:tc>
      </w:tr>
      <w:tr w:rsidR="00025B8E">
        <w:trPr>
          <w:trHeight w:val="1104"/>
        </w:trPr>
        <w:tc>
          <w:tcPr>
            <w:tcW w:w="0" w:type="auto"/>
            <w:vMerge/>
            <w:tcBorders>
              <w:top w:val="nil"/>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Jeżeli tak</w:t>
            </w:r>
            <w:r>
              <w:t xml:space="preserve">, czy wykonawca przedsięwziął środki w celu samooczyszczenia? [] Tak [] Nie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Zgodnie z art. 24 ust. 8 ustawy Pzp wykonawca, który podlega wykluczeniu na podstawie ust. 1 pkt 13 i 14 oraz pkt 16-20 lub ust. 5, może przedstawić dowody na to, </w:t>
            </w:r>
          </w:p>
        </w:tc>
      </w:tr>
    </w:tbl>
    <w:p w:rsidR="00025B8E" w:rsidRDefault="00025B8E">
      <w:pPr>
        <w:spacing w:after="0"/>
        <w:ind w:left="-1406" w:right="66"/>
      </w:pPr>
    </w:p>
    <w:tbl>
      <w:tblPr>
        <w:tblStyle w:val="TableGrid"/>
        <w:tblW w:w="13937" w:type="dxa"/>
        <w:tblInd w:w="17" w:type="dxa"/>
        <w:tblCellMar>
          <w:top w:w="46" w:type="dxa"/>
          <w:left w:w="106" w:type="dxa"/>
          <w:right w:w="52" w:type="dxa"/>
        </w:tblCellMar>
        <w:tblLook w:val="04A0" w:firstRow="1" w:lastRow="0" w:firstColumn="1" w:lastColumn="0" w:noHBand="0" w:noVBand="1"/>
      </w:tblPr>
      <w:tblGrid>
        <w:gridCol w:w="4645"/>
        <w:gridCol w:w="4647"/>
        <w:gridCol w:w="4645"/>
      </w:tblGrid>
      <w:tr w:rsidR="00025B8E">
        <w:trPr>
          <w:trHeight w:val="6337"/>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Jeżeli tak</w:t>
            </w:r>
            <w:r>
              <w:t xml:space="preserve">, proszę opisać przedsięwzięte środki: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że podjęte przez niego środki są </w:t>
            </w:r>
          </w:p>
          <w:p w:rsidR="00025B8E" w:rsidRDefault="00C13F2C">
            <w:pPr>
              <w:spacing w:line="266" w:lineRule="auto"/>
            </w:pPr>
            <w:r>
              <w:rPr>
                <w:rFonts w:ascii="Arial" w:eastAsia="Arial" w:hAnsi="Arial" w:cs="Arial"/>
              </w:rPr>
              <w:t xml:space="preserve">wystarczające do wykazania jego rzetelności, w szczególności udowodnić naprawienie szkody wyrządzonej przestępstwem lub przestępstwem skarbowym, </w:t>
            </w:r>
          </w:p>
          <w:p w:rsidR="00025B8E" w:rsidRDefault="00C13F2C">
            <w:pPr>
              <w:spacing w:after="193" w:line="262" w:lineRule="auto"/>
            </w:pPr>
            <w:r>
              <w:rPr>
                <w:rFonts w:ascii="Arial" w:eastAsia="Arial" w:hAnsi="Arial" w:cs="Arial"/>
              </w:rPr>
              <w:t xml:space="preserve">zadośćuczynienie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w:t>
            </w:r>
          </w:p>
          <w:p w:rsidR="00025B8E" w:rsidRDefault="00C13F2C">
            <w:pPr>
              <w:ind w:right="258"/>
            </w:pPr>
            <w:r>
              <w:rPr>
                <w:rFonts w:ascii="Arial" w:eastAsia="Arial" w:hAnsi="Arial" w:cs="Arial"/>
              </w:rPr>
              <w:t xml:space="preserve">Zamawiający, stosownie do treści  art. 24 ust. 9 ustawy Pzp, uwzględniając wagę i szczególne okoliczności czynu wykonawcy, oceni dowody wykazane przez wykonawcę w formularzu powyżej. Jeżeli uzna je za wystarczające wykonawca nie będzie podlegał wykluczeniu. </w:t>
            </w:r>
          </w:p>
        </w:tc>
      </w:tr>
      <w:tr w:rsidR="00025B8E">
        <w:trPr>
          <w:trHeight w:val="208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50" w:lineRule="auto"/>
              <w:ind w:left="2"/>
            </w:pPr>
            <w:r>
              <w:t xml:space="preserve">Czy wykonawca wie o jakimkolwiek </w:t>
            </w:r>
            <w:r>
              <w:rPr>
                <w:b/>
              </w:rPr>
              <w:t xml:space="preserve">konflikcie interesów </w:t>
            </w:r>
            <w:r>
              <w:t>(</w:t>
            </w:r>
            <w:r>
              <w:rPr>
                <w:rFonts w:ascii="Arial" w:eastAsia="Arial" w:hAnsi="Arial" w:cs="Arial"/>
                <w:b/>
                <w:sz w:val="20"/>
                <w:vertAlign w:val="superscript"/>
              </w:rPr>
              <w:footnoteReference w:id="24"/>
            </w:r>
            <w:r>
              <w:t xml:space="preserve">) spowodowanym jego udziałem w postępowaniu o udzielenie zamówienia? </w:t>
            </w:r>
          </w:p>
          <w:p w:rsidR="00025B8E" w:rsidRDefault="00C13F2C">
            <w:pPr>
              <w:ind w:left="2"/>
            </w:pPr>
            <w:r>
              <w:rPr>
                <w:b/>
              </w:rPr>
              <w:t>Jeżeli tak</w:t>
            </w:r>
            <w:r>
              <w:t xml:space="preserve">, proszę podać szczegółowe informacje na ten temat: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tym miejscu formularza wykonawca składa oświadczenie odnośnie istnienia bądź nie istnienia określonego konfliktu interesów w postępowaniu. W przypadku zaistnienia takiego konfliktu formularz wymaga od niego podania szczegółowych informacji na ten temat.  </w:t>
            </w:r>
          </w:p>
        </w:tc>
      </w:tr>
    </w:tbl>
    <w:p w:rsidR="00025B8E" w:rsidRDefault="00025B8E">
      <w:pPr>
        <w:spacing w:after="0"/>
        <w:ind w:left="-1406" w:right="66"/>
      </w:pPr>
    </w:p>
    <w:tbl>
      <w:tblPr>
        <w:tblStyle w:val="TableGrid"/>
        <w:tblW w:w="13937" w:type="dxa"/>
        <w:tblInd w:w="17" w:type="dxa"/>
        <w:tblCellMar>
          <w:top w:w="48" w:type="dxa"/>
          <w:left w:w="106" w:type="dxa"/>
          <w:right w:w="103" w:type="dxa"/>
        </w:tblCellMar>
        <w:tblLook w:val="04A0" w:firstRow="1" w:lastRow="0" w:firstColumn="1" w:lastColumn="0" w:noHBand="0" w:noVBand="1"/>
      </w:tblPr>
      <w:tblGrid>
        <w:gridCol w:w="4645"/>
        <w:gridCol w:w="4647"/>
        <w:gridCol w:w="4645"/>
      </w:tblGrid>
      <w:tr w:rsidR="00025B8E">
        <w:trPr>
          <w:trHeight w:val="8889"/>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77" w:line="271" w:lineRule="auto"/>
            </w:pPr>
            <w:r>
              <w:rPr>
                <w:rFonts w:ascii="Arial" w:eastAsia="Arial" w:hAnsi="Arial" w:cs="Arial"/>
              </w:rPr>
              <w:t xml:space="preserve">Przesłanka do badania konfliktu interesów wskazująca na fakultatywną podstawę do wykluczenia z postępowania wykonawcy została określona w art. 24 ust. 5 pkt 3 ustawy Pzp. Zgodnie z jego dyspozycją zamawiający może wykluczyć z udziału w postępowaniu wykonawcę, jeżeli wykonawca lub osoby, o których mowa w ust. 1 pkt 14,  uprawnione do reprezentowania wykonawcy pozostają w relacji określonej w art. 17 ust. 1 pkt 2-4 ustawy Pzp z: </w:t>
            </w:r>
          </w:p>
          <w:p w:rsidR="00025B8E" w:rsidRDefault="00C13F2C">
            <w:pPr>
              <w:numPr>
                <w:ilvl w:val="0"/>
                <w:numId w:val="26"/>
              </w:numPr>
              <w:spacing w:after="158"/>
            </w:pPr>
            <w:r>
              <w:rPr>
                <w:rFonts w:ascii="Arial" w:eastAsia="Arial" w:hAnsi="Arial" w:cs="Arial"/>
              </w:rPr>
              <w:t xml:space="preserve">zamawiającym  </w:t>
            </w:r>
          </w:p>
          <w:p w:rsidR="00025B8E" w:rsidRDefault="00C13F2C">
            <w:pPr>
              <w:numPr>
                <w:ilvl w:val="0"/>
                <w:numId w:val="26"/>
              </w:numPr>
              <w:spacing w:after="155" w:line="295" w:lineRule="auto"/>
            </w:pPr>
            <w:r>
              <w:rPr>
                <w:rFonts w:ascii="Arial" w:eastAsia="Arial" w:hAnsi="Arial" w:cs="Arial"/>
              </w:rPr>
              <w:t xml:space="preserve">osobami uprawnionymi do reprezentowania zamawiającego, </w:t>
            </w:r>
          </w:p>
          <w:p w:rsidR="00025B8E" w:rsidRDefault="00C13F2C">
            <w:pPr>
              <w:numPr>
                <w:ilvl w:val="0"/>
                <w:numId w:val="26"/>
              </w:numPr>
              <w:spacing w:after="195"/>
            </w:pPr>
            <w:r>
              <w:rPr>
                <w:rFonts w:ascii="Arial" w:eastAsia="Arial" w:hAnsi="Arial" w:cs="Arial"/>
              </w:rPr>
              <w:t xml:space="preserve">członkami komisji przetargowej, </w:t>
            </w:r>
          </w:p>
          <w:p w:rsidR="00025B8E" w:rsidRDefault="00C13F2C">
            <w:pPr>
              <w:numPr>
                <w:ilvl w:val="0"/>
                <w:numId w:val="26"/>
              </w:numPr>
              <w:spacing w:after="158" w:line="295" w:lineRule="auto"/>
            </w:pPr>
            <w:r>
              <w:rPr>
                <w:rFonts w:ascii="Arial" w:eastAsia="Arial" w:hAnsi="Arial" w:cs="Arial"/>
              </w:rPr>
              <w:t xml:space="preserve">osobami, które złożyły oświadczenie, o którym mowa w art. 17 ust. 2a,  </w:t>
            </w:r>
          </w:p>
          <w:p w:rsidR="00025B8E" w:rsidRDefault="00C13F2C">
            <w:pPr>
              <w:spacing w:after="149" w:line="270" w:lineRule="auto"/>
            </w:pPr>
            <w:r>
              <w:rPr>
                <w:rFonts w:ascii="Arial" w:eastAsia="Arial" w:hAnsi="Arial" w:cs="Arial"/>
              </w:rPr>
              <w:t xml:space="preserve">- chyba że jest możliwe zapewnienie bezstronności po stronie zamawiającego w inny sposób niż przez wykluczenie wykonawcy z udziału w postępowaniu. </w:t>
            </w:r>
          </w:p>
          <w:p w:rsidR="00025B8E" w:rsidRDefault="00C13F2C">
            <w:r>
              <w:rPr>
                <w:rFonts w:ascii="Arial" w:eastAsia="Arial" w:hAnsi="Arial" w:cs="Arial"/>
              </w:rPr>
              <w:t xml:space="preserve">Przepis zatem zakłada w pierwszej kolejności możliwość eliminacji konfliktu interesów w inny sposób np. poprzez wyłącznie z danego zamówienia osób występujących po stronie zamawiającego. Dopiero w ostateczności, o ile nie będzie </w:t>
            </w:r>
            <w:r>
              <w:rPr>
                <w:rFonts w:ascii="Arial" w:eastAsia="Arial" w:hAnsi="Arial" w:cs="Arial"/>
              </w:rPr>
              <w:lastRenderedPageBreak/>
              <w:t xml:space="preserve">możliwe usunięcie w inny sposób tego konfliktu, zamawiający będzie miał </w:t>
            </w:r>
          </w:p>
        </w:tc>
      </w:tr>
    </w:tbl>
    <w:p w:rsidR="00025B8E" w:rsidRDefault="00025B8E">
      <w:pPr>
        <w:spacing w:after="0"/>
        <w:ind w:left="-1406" w:right="66"/>
      </w:pPr>
    </w:p>
    <w:tbl>
      <w:tblPr>
        <w:tblStyle w:val="TableGrid"/>
        <w:tblW w:w="13937" w:type="dxa"/>
        <w:tblInd w:w="17" w:type="dxa"/>
        <w:tblCellMar>
          <w:top w:w="46" w:type="dxa"/>
          <w:left w:w="106" w:type="dxa"/>
          <w:right w:w="49" w:type="dxa"/>
        </w:tblCellMar>
        <w:tblLook w:val="04A0" w:firstRow="1" w:lastRow="0" w:firstColumn="1" w:lastColumn="0" w:noHBand="0" w:noVBand="1"/>
      </w:tblPr>
      <w:tblGrid>
        <w:gridCol w:w="4645"/>
        <w:gridCol w:w="4647"/>
        <w:gridCol w:w="4645"/>
      </w:tblGrid>
      <w:tr w:rsidR="00025B8E">
        <w:trPr>
          <w:trHeight w:val="4040"/>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40" w:line="276" w:lineRule="auto"/>
            </w:pPr>
            <w:r>
              <w:rPr>
                <w:rFonts w:ascii="Arial" w:eastAsia="Arial" w:hAnsi="Arial" w:cs="Arial"/>
              </w:rPr>
              <w:t xml:space="preserve">obowiązek wykluczyć wykonawcę z postępowania w oparciu o wskazaną podstawę. </w:t>
            </w:r>
          </w:p>
          <w:p w:rsidR="00025B8E" w:rsidRDefault="00C13F2C">
            <w:pPr>
              <w:spacing w:after="156" w:line="263" w:lineRule="auto"/>
              <w:ind w:right="43"/>
            </w:pPr>
            <w:r>
              <w:rPr>
                <w:rFonts w:ascii="Arial" w:eastAsia="Arial" w:hAnsi="Arial" w:cs="Arial"/>
              </w:rPr>
              <w:t xml:space="preserve">Wskazana podstawa do wykluczenia  z postępowania ma charakter fakultatywny, tzn. zamawiający może ją przewidzieć do badania wykonawców w treści ogłoszenia o zamówieniu, w specyfikacji istotnych warunków zamówienia lub w zaproszeniu do negocjacji.  </w:t>
            </w:r>
          </w:p>
          <w:p w:rsidR="00025B8E" w:rsidRDefault="00C13F2C">
            <w:r>
              <w:rPr>
                <w:rFonts w:ascii="Arial" w:eastAsia="Arial" w:hAnsi="Arial" w:cs="Arial"/>
              </w:rPr>
              <w:t xml:space="preserve">Wykonawca wypełnia formularz w tym zakresie tylko, jeśli zamawiający przewidział taką podstawę wykluczenia. </w:t>
            </w:r>
          </w:p>
        </w:tc>
      </w:tr>
      <w:tr w:rsidR="00025B8E">
        <w:trPr>
          <w:trHeight w:val="481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39" w:lineRule="auto"/>
              <w:ind w:left="2"/>
            </w:pPr>
            <w:r>
              <w:lastRenderedPageBreak/>
              <w:t xml:space="preserve">Czy wykonawca lub przedsiębiorstwo związane z wykonawcą </w:t>
            </w:r>
            <w:r>
              <w:rPr>
                <w:b/>
              </w:rPr>
              <w:t>doradzał(-o)</w:t>
            </w:r>
            <w:r>
              <w:t xml:space="preserve"> instytucji zamawiającej lub podmiotowi zamawiającemu bądź był(-o) w inny sposób </w:t>
            </w:r>
            <w:r>
              <w:rPr>
                <w:b/>
              </w:rPr>
              <w:t>zaangażowany(-e) w przygotowanie</w:t>
            </w:r>
            <w:r>
              <w:t xml:space="preserve"> postępowania o udzielenie zamówienia? </w:t>
            </w:r>
          </w:p>
          <w:p w:rsidR="00025B8E" w:rsidRDefault="00C13F2C">
            <w:pPr>
              <w:ind w:left="2"/>
              <w:jc w:val="both"/>
            </w:pPr>
            <w:r>
              <w:rPr>
                <w:b/>
              </w:rPr>
              <w:t>Jeżeli tak</w:t>
            </w:r>
            <w:r>
              <w:t xml:space="preserve">, proszę podać szczegółowe informacje na ten temat: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36" w:line="258" w:lineRule="auto"/>
            </w:pPr>
            <w:r>
              <w:rPr>
                <w:rFonts w:ascii="Arial" w:eastAsia="Arial" w:hAnsi="Arial" w:cs="Arial"/>
              </w:rPr>
              <w:t xml:space="preserve">W tym miejscu formularza wykonawca składa oświadczenie odnośnie zaangażowania w ramach przygotowania danego postępowania o udzielenie zamówienia publicznego. W przypadku zaistnienia takiego </w:t>
            </w:r>
          </w:p>
          <w:p w:rsidR="00025B8E" w:rsidRDefault="00C13F2C">
            <w:pPr>
              <w:spacing w:after="159" w:line="258" w:lineRule="auto"/>
            </w:pPr>
            <w:r>
              <w:rPr>
                <w:rFonts w:ascii="Arial" w:eastAsia="Arial" w:hAnsi="Arial" w:cs="Arial"/>
              </w:rPr>
              <w:t xml:space="preserve">zaangażowania prowadzącego do zakłócenia konkurencji w postępowaniu formularz wymaga od niego podania szczegółowych informacji na ten temat.  </w:t>
            </w:r>
          </w:p>
          <w:p w:rsidR="00025B8E" w:rsidRDefault="00C13F2C">
            <w:r>
              <w:rPr>
                <w:rFonts w:ascii="Arial" w:eastAsia="Arial" w:hAnsi="Arial" w:cs="Arial"/>
              </w:rPr>
              <w:t xml:space="preserve">Ustawodawca w art. 24 ust. 1 pkt 19 ustawy </w:t>
            </w:r>
          </w:p>
          <w:p w:rsidR="00025B8E" w:rsidRDefault="00C13F2C">
            <w:r>
              <w:rPr>
                <w:rFonts w:ascii="Arial" w:eastAsia="Arial" w:hAnsi="Arial" w:cs="Arial"/>
              </w:rPr>
              <w:t xml:space="preserve">Pzp wprowadził w tym zakresie obligatoryjną przesłankę do wykluczenia wykonawcy z postępowania. Zgodnie z tym przepisem zamawiający ma obowiązek wykluczenia z udziału w postępowaniu wykonawcy, który brał czynny udział w przygotowaniu postępowania o udzielenie zamówienia lub </w:t>
            </w:r>
          </w:p>
        </w:tc>
      </w:tr>
    </w:tbl>
    <w:p w:rsidR="00025B8E" w:rsidRDefault="00025B8E">
      <w:pPr>
        <w:spacing w:after="0"/>
        <w:ind w:left="-1406" w:right="66"/>
      </w:pPr>
    </w:p>
    <w:tbl>
      <w:tblPr>
        <w:tblStyle w:val="TableGrid"/>
        <w:tblW w:w="13937" w:type="dxa"/>
        <w:tblInd w:w="17" w:type="dxa"/>
        <w:tblCellMar>
          <w:top w:w="46" w:type="dxa"/>
          <w:left w:w="106" w:type="dxa"/>
          <w:right w:w="55" w:type="dxa"/>
        </w:tblCellMar>
        <w:tblLook w:val="04A0" w:firstRow="1" w:lastRow="0" w:firstColumn="1" w:lastColumn="0" w:noHBand="0" w:noVBand="1"/>
      </w:tblPr>
      <w:tblGrid>
        <w:gridCol w:w="4645"/>
        <w:gridCol w:w="4647"/>
        <w:gridCol w:w="4645"/>
      </w:tblGrid>
      <w:tr w:rsidR="00025B8E">
        <w:trPr>
          <w:trHeight w:val="5245"/>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0" w:line="267" w:lineRule="auto"/>
            </w:pPr>
            <w:r>
              <w:rPr>
                <w:rFonts w:ascii="Arial" w:eastAsia="Arial" w:hAnsi="Arial" w:cs="Arial"/>
              </w:rPr>
              <w:t xml:space="preserve">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 </w:t>
            </w:r>
          </w:p>
          <w:p w:rsidR="00025B8E" w:rsidRDefault="00C13F2C">
            <w:r>
              <w:rPr>
                <w:rFonts w:ascii="Arial" w:eastAsia="Arial" w:hAnsi="Arial" w:cs="Arial"/>
              </w:rPr>
              <w:t xml:space="preserve">Zgodnie z art. 24 ust. 10 ustawy Pzp przed wykluczeniem wykonawcy, zamawiający zapewnia temu wykonawcy możliwość udowodnienia, że jego udział w przygotowaniu postępowania o udzielenie zamówienia nie zakłóci konkurencji. Na zamawiającym spoczywa również obowiązek wskazania w protokole sposobu zapewnienia konkurencji. </w:t>
            </w:r>
          </w:p>
        </w:tc>
      </w:tr>
      <w:tr w:rsidR="00025B8E">
        <w:trPr>
          <w:trHeight w:val="372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39" w:lineRule="auto"/>
              <w:ind w:left="2" w:right="50"/>
            </w:pPr>
            <w:r>
              <w:lastRenderedPageBreak/>
              <w:t xml:space="preserve">Czy wykonawca znajdował się w sytuacji, w której wcześniejsza umowa w sprawie zamówienia publicznego, wcześniejsza umowa z podmiotem zamawiającym lub wcześniejsza umowa w sprawie koncesji została </w:t>
            </w:r>
            <w:r>
              <w:rPr>
                <w:b/>
              </w:rPr>
              <w:t>rozwiązana przed czasem</w:t>
            </w:r>
            <w:r>
              <w:t xml:space="preserve">, lub w której nałożone zostało odszkodowanie bądź inne porównywalne sankcje w związku z tą wcześniejszą umową? </w:t>
            </w:r>
          </w:p>
          <w:p w:rsidR="00025B8E" w:rsidRDefault="00C13F2C">
            <w:pPr>
              <w:ind w:left="2"/>
              <w:jc w:val="both"/>
            </w:pPr>
            <w:r>
              <w:rPr>
                <w:b/>
              </w:rPr>
              <w:t>Jeżeli tak</w:t>
            </w:r>
            <w:r>
              <w:t xml:space="preserve">, proszę podać szczegółowe informacje na ten temat: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7" w:line="263" w:lineRule="auto"/>
            </w:pPr>
            <w:r>
              <w:rPr>
                <w:rFonts w:ascii="Arial" w:eastAsia="Arial" w:hAnsi="Arial" w:cs="Arial"/>
              </w:rPr>
              <w:t xml:space="preserve">W tym miejscu formularza wykonawca składa oświadczenie odnośnie nieprawidłowości w zakresie realizacji przez niego wcześniejszej umowy w sprawie zamówienia publicznego lub umowy koncesji. W przypadku zaistnienia takich nieprawidłowości  formularz wymaga od niego podania szczegółowych informacji na ten temat.  </w:t>
            </w:r>
          </w:p>
          <w:p w:rsidR="00025B8E" w:rsidRDefault="00C13F2C">
            <w:r>
              <w:rPr>
                <w:rFonts w:ascii="Arial" w:eastAsia="Arial" w:hAnsi="Arial" w:cs="Arial"/>
              </w:rPr>
              <w:t xml:space="preserve">Ustawodawca przewidział w tym zakresie fakultatywną przesłankę do wykluczenia  z postępowania w art. 24 ust. 5 pkt 4 ustawy Pzp. Zgodnie z tym przepisem zamawiający może wykluczyć z postępowania o udzielenie </w:t>
            </w:r>
          </w:p>
        </w:tc>
      </w:tr>
    </w:tbl>
    <w:p w:rsidR="00025B8E" w:rsidRDefault="00025B8E">
      <w:pPr>
        <w:spacing w:after="0"/>
        <w:ind w:left="-1406" w:right="66"/>
      </w:pPr>
    </w:p>
    <w:tbl>
      <w:tblPr>
        <w:tblStyle w:val="TableGrid"/>
        <w:tblW w:w="13937" w:type="dxa"/>
        <w:tblInd w:w="17" w:type="dxa"/>
        <w:tblCellMar>
          <w:top w:w="9" w:type="dxa"/>
          <w:left w:w="106" w:type="dxa"/>
          <w:right w:w="52" w:type="dxa"/>
        </w:tblCellMar>
        <w:tblLook w:val="04A0" w:firstRow="1" w:lastRow="0" w:firstColumn="1" w:lastColumn="0" w:noHBand="0" w:noVBand="1"/>
      </w:tblPr>
      <w:tblGrid>
        <w:gridCol w:w="4645"/>
        <w:gridCol w:w="4647"/>
        <w:gridCol w:w="4645"/>
      </w:tblGrid>
      <w:tr w:rsidR="00025B8E">
        <w:trPr>
          <w:trHeight w:val="5406"/>
        </w:trPr>
        <w:tc>
          <w:tcPr>
            <w:tcW w:w="4645" w:type="dxa"/>
            <w:vMerge w:val="restart"/>
            <w:tcBorders>
              <w:top w:val="single" w:sz="4" w:space="0" w:color="000000"/>
              <w:left w:val="single" w:sz="4" w:space="0" w:color="000000"/>
              <w:bottom w:val="single" w:sz="4" w:space="0" w:color="000000"/>
              <w:right w:val="single" w:sz="4" w:space="0" w:color="000000"/>
            </w:tcBorders>
            <w:vAlign w:val="bottom"/>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45" w:line="274" w:lineRule="auto"/>
              <w:ind w:right="48"/>
            </w:pPr>
            <w:r>
              <w:rPr>
                <w:rFonts w:ascii="Arial" w:eastAsia="Arial" w:hAnsi="Arial" w:cs="Arial"/>
              </w:rPr>
              <w:t xml:space="preserve">zamówienia publicznego wykonawcę, który z przyczyn leżących po jego stronie, nie wykonał albo nienależycie wykonał w stopniu rażącym wcześniejszą umowę w sprawie zamówienia lub umowę koncesji, zawartą z zamawiającym, o którym mowa w art. 3 ust. 1 pkt 1-4, co doprowadziło do rozwiązania umowy lub zasądzenia odszkodowania. </w:t>
            </w:r>
          </w:p>
          <w:p w:rsidR="00025B8E" w:rsidRDefault="00C13F2C">
            <w:pPr>
              <w:spacing w:after="156" w:line="263" w:lineRule="auto"/>
              <w:ind w:right="39"/>
            </w:pPr>
            <w:r>
              <w:rPr>
                <w:rFonts w:ascii="Arial" w:eastAsia="Arial" w:hAnsi="Arial" w:cs="Arial"/>
              </w:rPr>
              <w:t xml:space="preserve">Wskazana podstawa do wykluczenia  z postępowania ma charakter fakultatywny, tzn. zamawiający może ją przewidzieć do badania wykonawców w treści ogłoszenia o zamówieniu, w specyfikacji istotnych warunków zamówienia lub w zaproszeniu do negocjacji.  </w:t>
            </w:r>
          </w:p>
          <w:p w:rsidR="00025B8E" w:rsidRDefault="00C13F2C">
            <w:r>
              <w:rPr>
                <w:rFonts w:ascii="Arial" w:eastAsia="Arial" w:hAnsi="Arial" w:cs="Arial"/>
              </w:rPr>
              <w:t xml:space="preserve">Wykonawca wypełnia formularz w tym zakresie tylko, jeśli zamawiający przewidział taką podstawę wykluczenia. </w:t>
            </w:r>
          </w:p>
        </w:tc>
      </w:tr>
      <w:tr w:rsidR="00025B8E">
        <w:trPr>
          <w:trHeight w:val="3560"/>
        </w:trPr>
        <w:tc>
          <w:tcPr>
            <w:tcW w:w="0" w:type="auto"/>
            <w:vMerge/>
            <w:tcBorders>
              <w:top w:val="nil"/>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2" w:line="256" w:lineRule="auto"/>
              <w:ind w:left="2"/>
            </w:pPr>
            <w:r>
              <w:rPr>
                <w:b/>
              </w:rPr>
              <w:t>Jeżeli tak</w:t>
            </w:r>
            <w:r>
              <w:t xml:space="preserve">, czy wykonawca przedsięwziął środki w celu samooczyszczenia?  </w:t>
            </w:r>
          </w:p>
          <w:p w:rsidR="00025B8E" w:rsidRDefault="00C13F2C">
            <w:pPr>
              <w:ind w:left="2"/>
            </w:pPr>
            <w:r>
              <w:t xml:space="preserve">[] Tak [] Nie </w:t>
            </w:r>
          </w:p>
          <w:p w:rsidR="00025B8E" w:rsidRDefault="00C13F2C">
            <w:pPr>
              <w:ind w:left="2"/>
            </w:pPr>
            <w:r>
              <w:rPr>
                <w:b/>
              </w:rPr>
              <w:t>Jeżeli tak</w:t>
            </w:r>
            <w:r>
              <w:t xml:space="preserve">, proszę opisać przedsięwzięte środki: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75" w:lineRule="auto"/>
            </w:pPr>
            <w:r>
              <w:rPr>
                <w:rFonts w:ascii="Arial" w:eastAsia="Arial" w:hAnsi="Arial" w:cs="Arial"/>
              </w:rPr>
              <w:t xml:space="preserve">Zgodnie z art. 24 ust. 8 ustawy Pzp wykonawca, który podlega wykluczeniu na podstawie ust. 1 pkt 13 i 14 oraz pkt 16-20 lub ust. 5, może przedstawić dowody na to, że podjęte przez niego środki są </w:t>
            </w:r>
          </w:p>
          <w:p w:rsidR="00025B8E" w:rsidRDefault="00C13F2C">
            <w:r>
              <w:rPr>
                <w:rFonts w:ascii="Arial" w:eastAsia="Arial" w:hAnsi="Arial" w:cs="Arial"/>
              </w:rPr>
              <w:t xml:space="preserve">wystarczające do wykazania jego rzetelności, w szczególności udowodnić naprawienie szkody wyrządzonej przestępstwem lub przestępstwem skarbowym, </w:t>
            </w:r>
          </w:p>
          <w:p w:rsidR="00025B8E" w:rsidRDefault="00C13F2C">
            <w:r>
              <w:rPr>
                <w:rFonts w:ascii="Arial" w:eastAsia="Arial" w:hAnsi="Arial" w:cs="Arial"/>
              </w:rPr>
              <w:t xml:space="preserve">zadośćuczynienie za doznaną krzywdę lub naprawienie szkody, wyczerpujące wyjaśnienie stanu faktycznego oraz współpracę z organami ścigania oraz </w:t>
            </w:r>
          </w:p>
        </w:tc>
      </w:tr>
    </w:tbl>
    <w:p w:rsidR="00025B8E" w:rsidRDefault="00025B8E">
      <w:pPr>
        <w:spacing w:after="0"/>
        <w:ind w:left="-1406" w:right="66"/>
      </w:pPr>
    </w:p>
    <w:tbl>
      <w:tblPr>
        <w:tblStyle w:val="TableGrid"/>
        <w:tblW w:w="13937" w:type="dxa"/>
        <w:tblInd w:w="17" w:type="dxa"/>
        <w:tblCellMar>
          <w:top w:w="26" w:type="dxa"/>
          <w:right w:w="52" w:type="dxa"/>
        </w:tblCellMar>
        <w:tblLook w:val="04A0" w:firstRow="1" w:lastRow="0" w:firstColumn="1" w:lastColumn="0" w:noHBand="0" w:noVBand="1"/>
      </w:tblPr>
      <w:tblGrid>
        <w:gridCol w:w="4645"/>
        <w:gridCol w:w="4647"/>
        <w:gridCol w:w="826"/>
        <w:gridCol w:w="3819"/>
      </w:tblGrid>
      <w:tr w:rsidR="00025B8E">
        <w:trPr>
          <w:trHeight w:val="3879"/>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gridSpan w:val="2"/>
            <w:tcBorders>
              <w:top w:val="single" w:sz="4" w:space="0" w:color="000000"/>
              <w:left w:val="single" w:sz="4" w:space="0" w:color="000000"/>
              <w:bottom w:val="single" w:sz="4" w:space="0" w:color="000000"/>
              <w:right w:val="single" w:sz="4" w:space="0" w:color="000000"/>
            </w:tcBorders>
          </w:tcPr>
          <w:p w:rsidR="00025B8E" w:rsidRDefault="00C13F2C">
            <w:pPr>
              <w:spacing w:after="182" w:line="272" w:lineRule="auto"/>
            </w:pPr>
            <w:r>
              <w:rPr>
                <w:rFonts w:ascii="Arial" w:eastAsia="Arial" w:hAnsi="Arial" w:cs="Arial"/>
              </w:rPr>
              <w:t xml:space="preserve">podjęcie konkretnych środków technicznych, organizacyjnych i kadrowych, które są odpowiednie dla zapobiegania dalszym przestępstwom lub przestępstwom skarbowym lub nieprawidłowemu postępowaniu wykonawcy.  </w:t>
            </w:r>
          </w:p>
          <w:p w:rsidR="00025B8E" w:rsidRDefault="00C13F2C">
            <w:pPr>
              <w:ind w:right="258"/>
            </w:pPr>
            <w:r>
              <w:rPr>
                <w:rFonts w:ascii="Arial" w:eastAsia="Arial" w:hAnsi="Arial" w:cs="Arial"/>
              </w:rPr>
              <w:t xml:space="preserve">Zamawiający, stosownie do treści  art. 24 ust. 9 ustawy Pzp, uwzględniając wagę i szczególne okoliczności czynu wykonawcy, oceni dowody wykazane przez wykonawcę w formularzu powyżej. Jeżeli uzna je za wystarczające wykonawca nie będzie podlegał wykluczeniu. </w:t>
            </w:r>
          </w:p>
        </w:tc>
      </w:tr>
      <w:tr w:rsidR="00025B8E">
        <w:trPr>
          <w:trHeight w:val="4988"/>
        </w:trPr>
        <w:tc>
          <w:tcPr>
            <w:tcW w:w="4645" w:type="dxa"/>
            <w:tcBorders>
              <w:top w:val="single" w:sz="4" w:space="0" w:color="000000"/>
              <w:left w:val="single" w:sz="4" w:space="0" w:color="000000"/>
              <w:bottom w:val="single" w:sz="4" w:space="0" w:color="000000"/>
              <w:right w:val="single" w:sz="4" w:space="0" w:color="000000"/>
            </w:tcBorders>
            <w:vAlign w:val="bottom"/>
          </w:tcPr>
          <w:p w:rsidR="00025B8E" w:rsidRDefault="00C13F2C">
            <w:pPr>
              <w:spacing w:line="239" w:lineRule="auto"/>
              <w:ind w:left="2" w:right="109"/>
            </w:pPr>
            <w:r>
              <w:lastRenderedPageBreak/>
              <w:t xml:space="preserve">Czy wykonawca może potwierdzić, że: nie jest winny poważnego </w:t>
            </w:r>
            <w:r>
              <w:rPr>
                <w:b/>
              </w:rPr>
              <w:t>wprowadzenia w błąd</w:t>
            </w:r>
            <w:r>
              <w:t xml:space="preserve"> przy dostarczaniu informacji wymaganych do weryfikacji braku podstaw wykluczenia lub do weryfikacji spełnienia kryteriów kwalifikacji; b) nie </w:t>
            </w:r>
            <w:r>
              <w:rPr>
                <w:b/>
              </w:rPr>
              <w:t>zataił</w:t>
            </w:r>
            <w:r>
              <w:t xml:space="preserve"> tych informacji; </w:t>
            </w:r>
          </w:p>
          <w:p w:rsidR="00025B8E" w:rsidRDefault="00C13F2C">
            <w:pPr>
              <w:numPr>
                <w:ilvl w:val="0"/>
                <w:numId w:val="27"/>
              </w:numPr>
              <w:spacing w:line="239" w:lineRule="auto"/>
            </w:pPr>
            <w:r>
              <w:t xml:space="preserve">jest w stanie niezwłocznie przedstawić dokumenty potwierdzające wymagane przez </w:t>
            </w:r>
          </w:p>
          <w:p w:rsidR="00025B8E" w:rsidRDefault="00C13F2C">
            <w:pPr>
              <w:spacing w:line="239" w:lineRule="auto"/>
              <w:ind w:left="2" w:right="31"/>
            </w:pPr>
            <w:r>
              <w:t xml:space="preserve">instytucję zamawiającą lub podmiot zamawiający; oraz </w:t>
            </w:r>
          </w:p>
          <w:p w:rsidR="00025B8E" w:rsidRDefault="00C13F2C">
            <w:pPr>
              <w:numPr>
                <w:ilvl w:val="0"/>
                <w:numId w:val="27"/>
              </w:numPr>
              <w:spacing w:line="239" w:lineRule="auto"/>
            </w:pPr>
            <w:r>
              <w:t xml:space="preserve">nie przedsięwziął kroków, aby w bezprawny sposób wpłynąć na proces podejmowania decyzji przez instytucję zamawiającą lub podmiot zamawiający, pozyskać informacje poufne, które mogą dać mu nienależną przewagę w postępowaniu o udzielenie zamówienia, lub wskutek zaniedbania przedstawić </w:t>
            </w:r>
          </w:p>
          <w:p w:rsidR="00025B8E" w:rsidRDefault="00C13F2C">
            <w:pPr>
              <w:ind w:left="2"/>
            </w:pPr>
            <w:r>
              <w:t xml:space="preserve">wprowadzające w błąd informacje, które mogą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tc>
        <w:tc>
          <w:tcPr>
            <w:tcW w:w="4645" w:type="dxa"/>
            <w:gridSpan w:val="2"/>
            <w:tcBorders>
              <w:top w:val="single" w:sz="4" w:space="0" w:color="000000"/>
              <w:left w:val="single" w:sz="4" w:space="0" w:color="000000"/>
              <w:bottom w:val="single" w:sz="4" w:space="0" w:color="000000"/>
              <w:right w:val="single" w:sz="4" w:space="0" w:color="000000"/>
            </w:tcBorders>
          </w:tcPr>
          <w:p w:rsidR="00025B8E" w:rsidRDefault="00C13F2C">
            <w:pPr>
              <w:spacing w:after="146" w:line="271" w:lineRule="auto"/>
              <w:ind w:right="50"/>
            </w:pPr>
            <w:r>
              <w:rPr>
                <w:rFonts w:ascii="Arial" w:eastAsia="Arial" w:hAnsi="Arial" w:cs="Arial"/>
              </w:rPr>
              <w:t xml:space="preserve">W tym miejscu formularza wykonawca składa oświadczenie odnośnie wprowadzenia w błąd zamawiającego w niniejszym postępowaniu.  </w:t>
            </w:r>
          </w:p>
          <w:p w:rsidR="00025B8E" w:rsidRDefault="00C13F2C">
            <w:pPr>
              <w:spacing w:after="182" w:line="274" w:lineRule="auto"/>
            </w:pPr>
            <w:r>
              <w:rPr>
                <w:rFonts w:ascii="Arial" w:eastAsia="Arial" w:hAnsi="Arial" w:cs="Arial"/>
              </w:rPr>
              <w:t xml:space="preserve">Ustawodawca przewidział w tym zakresie obligatoryjne przesłanki do wykluczenia  z postępowania w art. 24 ust. 1 pkt 16-18 ustawy Pzp. Zgodnie z tymi przepisami zamawiający ma obowiązek wykluczyć z udziału w postępowaniu: </w:t>
            </w:r>
          </w:p>
          <w:p w:rsidR="00025B8E" w:rsidRDefault="00C13F2C">
            <w:pPr>
              <w:ind w:left="721" w:hanging="361"/>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t xml:space="preserve">wykonawcę, który w wyniku zamierzonego działania lub rażącego niedbalstwa wprowadził zamawiającego w błąd przy przedstawieniu informacji, że nie podlega wykluczeniu, spełnia warunki udziału w postępowaniu lub kryteria </w:t>
            </w:r>
          </w:p>
        </w:tc>
      </w:tr>
      <w:tr w:rsidR="00025B8E">
        <w:trPr>
          <w:trHeight w:val="844"/>
        </w:trPr>
        <w:tc>
          <w:tcPr>
            <w:tcW w:w="4645" w:type="dxa"/>
            <w:tcBorders>
              <w:top w:val="single" w:sz="4" w:space="0" w:color="000000"/>
              <w:left w:val="single" w:sz="4" w:space="0" w:color="000000"/>
              <w:bottom w:val="nil"/>
              <w:right w:val="single" w:sz="4" w:space="0" w:color="000000"/>
            </w:tcBorders>
          </w:tcPr>
          <w:p w:rsidR="00025B8E" w:rsidRDefault="00C13F2C">
            <w:pPr>
              <w:ind w:left="108"/>
            </w:pPr>
            <w:r>
              <w:t>mieć istotny wpływ na decyzje w sprawie wykluczenia, kwalifikacji lub udzielenia zamówienia?</w:t>
            </w:r>
            <w:r>
              <w:rPr>
                <w:sz w:val="24"/>
              </w:rPr>
              <w:t xml:space="preserve"> </w:t>
            </w:r>
          </w:p>
        </w:tc>
        <w:tc>
          <w:tcPr>
            <w:tcW w:w="4647" w:type="dxa"/>
            <w:tcBorders>
              <w:top w:val="single" w:sz="4" w:space="0" w:color="000000"/>
              <w:left w:val="single" w:sz="4" w:space="0" w:color="000000"/>
              <w:bottom w:val="nil"/>
              <w:right w:val="single" w:sz="4" w:space="0" w:color="000000"/>
            </w:tcBorders>
          </w:tcPr>
          <w:p w:rsidR="00025B8E" w:rsidRDefault="00025B8E"/>
        </w:tc>
        <w:tc>
          <w:tcPr>
            <w:tcW w:w="826" w:type="dxa"/>
            <w:tcBorders>
              <w:top w:val="single" w:sz="4" w:space="0" w:color="000000"/>
              <w:left w:val="single" w:sz="4" w:space="0" w:color="000000"/>
              <w:bottom w:val="nil"/>
              <w:right w:val="nil"/>
            </w:tcBorders>
            <w:vAlign w:val="bottom"/>
          </w:tcPr>
          <w:p w:rsidR="00025B8E" w:rsidRDefault="00025B8E"/>
        </w:tc>
        <w:tc>
          <w:tcPr>
            <w:tcW w:w="3819" w:type="dxa"/>
            <w:tcBorders>
              <w:top w:val="single" w:sz="4" w:space="0" w:color="000000"/>
              <w:left w:val="nil"/>
              <w:bottom w:val="nil"/>
              <w:right w:val="single" w:sz="4" w:space="0" w:color="000000"/>
            </w:tcBorders>
          </w:tcPr>
          <w:p w:rsidR="00025B8E" w:rsidRDefault="00C13F2C">
            <w:r>
              <w:rPr>
                <w:rFonts w:ascii="Arial" w:eastAsia="Arial" w:hAnsi="Arial" w:cs="Arial"/>
              </w:rPr>
              <w:t xml:space="preserve">selekcji lub który zataił te informacje </w:t>
            </w:r>
          </w:p>
          <w:p w:rsidR="00025B8E" w:rsidRDefault="00C13F2C">
            <w:r>
              <w:rPr>
                <w:rFonts w:ascii="Arial" w:eastAsia="Arial" w:hAnsi="Arial" w:cs="Arial"/>
              </w:rPr>
              <w:t xml:space="preserve">lub nie jest w stanie przedstawić wymaganych dokumentów; </w:t>
            </w:r>
          </w:p>
        </w:tc>
      </w:tr>
      <w:tr w:rsidR="00025B8E">
        <w:trPr>
          <w:trHeight w:val="2469"/>
        </w:trPr>
        <w:tc>
          <w:tcPr>
            <w:tcW w:w="4645" w:type="dxa"/>
            <w:tcBorders>
              <w:top w:val="nil"/>
              <w:left w:val="single" w:sz="4" w:space="0" w:color="000000"/>
              <w:bottom w:val="nil"/>
              <w:right w:val="single" w:sz="4" w:space="0" w:color="000000"/>
            </w:tcBorders>
          </w:tcPr>
          <w:p w:rsidR="00025B8E" w:rsidRDefault="00025B8E"/>
        </w:tc>
        <w:tc>
          <w:tcPr>
            <w:tcW w:w="4647" w:type="dxa"/>
            <w:tcBorders>
              <w:top w:val="nil"/>
              <w:left w:val="single" w:sz="4" w:space="0" w:color="000000"/>
              <w:bottom w:val="nil"/>
              <w:right w:val="single" w:sz="4" w:space="0" w:color="000000"/>
            </w:tcBorders>
          </w:tcPr>
          <w:p w:rsidR="00025B8E" w:rsidRDefault="00025B8E"/>
        </w:tc>
        <w:tc>
          <w:tcPr>
            <w:tcW w:w="826" w:type="dxa"/>
            <w:tcBorders>
              <w:top w:val="nil"/>
              <w:left w:val="single" w:sz="4" w:space="0" w:color="000000"/>
              <w:bottom w:val="nil"/>
              <w:right w:val="nil"/>
            </w:tcBorders>
          </w:tcPr>
          <w:p w:rsidR="00025B8E" w:rsidRDefault="00C13F2C">
            <w:pPr>
              <w:ind w:left="319"/>
              <w:jc w:val="center"/>
            </w:pPr>
            <w:r>
              <w:rPr>
                <w:rFonts w:ascii="Segoe UI Symbol" w:eastAsia="Segoe UI Symbol" w:hAnsi="Segoe UI Symbol" w:cs="Segoe UI Symbol"/>
              </w:rPr>
              <w:t></w:t>
            </w:r>
            <w:r>
              <w:rPr>
                <w:rFonts w:ascii="Arial" w:eastAsia="Arial" w:hAnsi="Arial" w:cs="Arial"/>
              </w:rPr>
              <w:t xml:space="preserve"> </w:t>
            </w:r>
          </w:p>
        </w:tc>
        <w:tc>
          <w:tcPr>
            <w:tcW w:w="3819" w:type="dxa"/>
            <w:tcBorders>
              <w:top w:val="nil"/>
              <w:left w:val="nil"/>
              <w:bottom w:val="nil"/>
              <w:right w:val="single" w:sz="4" w:space="0" w:color="000000"/>
            </w:tcBorders>
          </w:tcPr>
          <w:p w:rsidR="00025B8E" w:rsidRDefault="00C13F2C">
            <w:pPr>
              <w:spacing w:after="29"/>
            </w:pPr>
            <w:r>
              <w:rPr>
                <w:rFonts w:ascii="Arial" w:eastAsia="Arial" w:hAnsi="Arial" w:cs="Arial"/>
              </w:rPr>
              <w:t xml:space="preserve">wykonawcę, który w wyniku lekkomyślności lub niedbalstwa przedstawił informacje wprowadzające w błąd </w:t>
            </w:r>
          </w:p>
          <w:p w:rsidR="00025B8E" w:rsidRDefault="00C13F2C">
            <w:r>
              <w:rPr>
                <w:rFonts w:ascii="Arial" w:eastAsia="Arial" w:hAnsi="Arial" w:cs="Arial"/>
              </w:rPr>
              <w:t xml:space="preserve">zamawiającego, mogące mieć istotny wpływ na decyzje podejmowane przez zamawiającego w postępowaniu o udzielenie zamówienia; </w:t>
            </w:r>
          </w:p>
        </w:tc>
      </w:tr>
      <w:tr w:rsidR="00025B8E">
        <w:trPr>
          <w:trHeight w:val="1802"/>
        </w:trPr>
        <w:tc>
          <w:tcPr>
            <w:tcW w:w="4645" w:type="dxa"/>
            <w:tcBorders>
              <w:top w:val="nil"/>
              <w:left w:val="single" w:sz="4" w:space="0" w:color="000000"/>
              <w:bottom w:val="single" w:sz="4" w:space="0" w:color="000000"/>
              <w:right w:val="single" w:sz="4" w:space="0" w:color="000000"/>
            </w:tcBorders>
          </w:tcPr>
          <w:p w:rsidR="00025B8E" w:rsidRDefault="00025B8E"/>
        </w:tc>
        <w:tc>
          <w:tcPr>
            <w:tcW w:w="4647" w:type="dxa"/>
            <w:tcBorders>
              <w:top w:val="nil"/>
              <w:left w:val="single" w:sz="4" w:space="0" w:color="000000"/>
              <w:bottom w:val="single" w:sz="4" w:space="0" w:color="000000"/>
              <w:right w:val="single" w:sz="4" w:space="0" w:color="000000"/>
            </w:tcBorders>
          </w:tcPr>
          <w:p w:rsidR="00025B8E" w:rsidRDefault="00025B8E"/>
        </w:tc>
        <w:tc>
          <w:tcPr>
            <w:tcW w:w="826" w:type="dxa"/>
            <w:tcBorders>
              <w:top w:val="nil"/>
              <w:left w:val="single" w:sz="4" w:space="0" w:color="000000"/>
              <w:bottom w:val="single" w:sz="4" w:space="0" w:color="000000"/>
              <w:right w:val="nil"/>
            </w:tcBorders>
          </w:tcPr>
          <w:p w:rsidR="00025B8E" w:rsidRDefault="00C13F2C">
            <w:pPr>
              <w:ind w:left="319"/>
              <w:jc w:val="center"/>
            </w:pPr>
            <w:r>
              <w:rPr>
                <w:rFonts w:ascii="Segoe UI Symbol" w:eastAsia="Segoe UI Symbol" w:hAnsi="Segoe UI Symbol" w:cs="Segoe UI Symbol"/>
              </w:rPr>
              <w:t></w:t>
            </w:r>
            <w:r>
              <w:rPr>
                <w:rFonts w:ascii="Arial" w:eastAsia="Arial" w:hAnsi="Arial" w:cs="Arial"/>
              </w:rPr>
              <w:t xml:space="preserve"> </w:t>
            </w:r>
          </w:p>
        </w:tc>
        <w:tc>
          <w:tcPr>
            <w:tcW w:w="3819" w:type="dxa"/>
            <w:tcBorders>
              <w:top w:val="nil"/>
              <w:left w:val="nil"/>
              <w:bottom w:val="single" w:sz="4" w:space="0" w:color="000000"/>
              <w:right w:val="single" w:sz="4" w:space="0" w:color="000000"/>
            </w:tcBorders>
          </w:tcPr>
          <w:p w:rsidR="00025B8E" w:rsidRDefault="00C13F2C">
            <w:r>
              <w:rPr>
                <w:rFonts w:ascii="Arial" w:eastAsia="Arial" w:hAnsi="Arial" w:cs="Arial"/>
              </w:rPr>
              <w:t xml:space="preserve">wykonawcę, który bezprawnie wpływał lub próbował wpłynąć na czynności zamawiającego lub pozyskać informacje poufne, mogące dać mu przewagę w postępowaniu o udzielenie zamówienia. </w:t>
            </w:r>
          </w:p>
        </w:tc>
      </w:tr>
    </w:tbl>
    <w:p w:rsidR="00025B8E" w:rsidRDefault="00C13F2C">
      <w:pPr>
        <w:spacing w:after="350"/>
        <w:ind w:right="6950"/>
        <w:jc w:val="right"/>
      </w:pPr>
      <w:r>
        <w:rPr>
          <w:rFonts w:ascii="Times New Roman" w:eastAsia="Times New Roman" w:hAnsi="Times New Roman" w:cs="Times New Roman"/>
          <w:b/>
        </w:rPr>
        <w:t xml:space="preserve"> </w:t>
      </w:r>
    </w:p>
    <w:p w:rsidR="00025B8E" w:rsidRDefault="00C13F2C">
      <w:pPr>
        <w:spacing w:after="0"/>
        <w:ind w:left="12"/>
      </w:pPr>
      <w:r>
        <w:t xml:space="preserve"> </w:t>
      </w:r>
      <w:r>
        <w:tab/>
      </w:r>
      <w:r>
        <w:rPr>
          <w:rFonts w:ascii="Times New Roman" w:eastAsia="Times New Roman" w:hAnsi="Times New Roman" w:cs="Times New Roman"/>
          <w:b/>
        </w:rPr>
        <w:t xml:space="preserve"> </w:t>
      </w:r>
    </w:p>
    <w:p w:rsidR="00025B8E" w:rsidRDefault="00C13F2C">
      <w:pPr>
        <w:spacing w:after="99"/>
        <w:ind w:left="20" w:right="10" w:hanging="10"/>
        <w:jc w:val="center"/>
      </w:pPr>
      <w:r>
        <w:rPr>
          <w:rFonts w:ascii="Times New Roman" w:eastAsia="Times New Roman" w:hAnsi="Times New Roman" w:cs="Times New Roman"/>
          <w:b/>
        </w:rPr>
        <w:t>D:</w:t>
      </w:r>
      <w:r>
        <w:rPr>
          <w:rFonts w:ascii="Times New Roman" w:eastAsia="Times New Roman" w:hAnsi="Times New Roman" w:cs="Times New Roman"/>
          <w:b/>
          <w:sz w:val="18"/>
        </w:rPr>
        <w:t xml:space="preserve"> </w:t>
      </w:r>
      <w:r>
        <w:rPr>
          <w:rFonts w:ascii="Times New Roman" w:eastAsia="Times New Roman" w:hAnsi="Times New Roman" w:cs="Times New Roman"/>
          <w:b/>
        </w:rPr>
        <w:t>I</w:t>
      </w:r>
      <w:r>
        <w:rPr>
          <w:rFonts w:ascii="Times New Roman" w:eastAsia="Times New Roman" w:hAnsi="Times New Roman" w:cs="Times New Roman"/>
          <w:b/>
          <w:sz w:val="18"/>
        </w:rPr>
        <w:t>NNE PODSTAWY WYKLUCZENIA</w:t>
      </w:r>
      <w:r>
        <w:rPr>
          <w:rFonts w:ascii="Times New Roman" w:eastAsia="Times New Roman" w:hAnsi="Times New Roman" w:cs="Times New Roman"/>
          <w:b/>
        </w:rPr>
        <w:t>,</w:t>
      </w:r>
      <w:r>
        <w:rPr>
          <w:rFonts w:ascii="Times New Roman" w:eastAsia="Times New Roman" w:hAnsi="Times New Roman" w:cs="Times New Roman"/>
          <w:b/>
          <w:sz w:val="18"/>
        </w:rPr>
        <w:t xml:space="preserve"> KTÓRE MOGĄ BYĆ PRZEWIDZIANE W PRZEPISACH KRAJOWYCH PAŃSTWA CZŁONKOWSKIEGO INSTYTUCJI ZAMAWIAJĄCEJ LUB PODMIOTU ZAMAWIAJĄCEGO</w:t>
      </w:r>
      <w:r>
        <w:rPr>
          <w:rFonts w:ascii="Times New Roman" w:eastAsia="Times New Roman" w:hAnsi="Times New Roman" w:cs="Times New Roman"/>
          <w:b/>
        </w:rPr>
        <w:t xml:space="preserve"> </w:t>
      </w:r>
    </w:p>
    <w:tbl>
      <w:tblPr>
        <w:tblStyle w:val="TableGrid"/>
        <w:tblW w:w="13937" w:type="dxa"/>
        <w:tblInd w:w="17" w:type="dxa"/>
        <w:tblCellMar>
          <w:top w:w="9" w:type="dxa"/>
          <w:left w:w="106" w:type="dxa"/>
          <w:right w:w="53" w:type="dxa"/>
        </w:tblCellMar>
        <w:tblLook w:val="04A0" w:firstRow="1" w:lastRow="0" w:firstColumn="1" w:lastColumn="0" w:noHBand="0" w:noVBand="1"/>
      </w:tblPr>
      <w:tblGrid>
        <w:gridCol w:w="4645"/>
        <w:gridCol w:w="4647"/>
        <w:gridCol w:w="4645"/>
      </w:tblGrid>
      <w:tr w:rsidR="00025B8E">
        <w:trPr>
          <w:trHeight w:val="74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Podstawy wykluczenia o charakterze wyłącznie krajowym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Odpowiedź: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72" w:line="263" w:lineRule="auto"/>
            </w:pPr>
            <w:r>
              <w:rPr>
                <w:rFonts w:ascii="Arial" w:eastAsia="Arial" w:hAnsi="Arial" w:cs="Arial"/>
              </w:rPr>
              <w:t xml:space="preserve">Ta sekcja formularza dotyczy wszystkich przesłanek do badania podstaw do wykluczenia z postępowania wykonawcy, które nie zostały wymienione  szczegółowo powyżej,  a które stanowią krajowe podstawy do badania podstaw wykluczenia wykonawców z postępowania. Powyższe dotyczy następujących podstaw wykluczenia: </w:t>
            </w:r>
          </w:p>
          <w:p w:rsidR="00025B8E" w:rsidRDefault="00C13F2C">
            <w:pPr>
              <w:numPr>
                <w:ilvl w:val="0"/>
                <w:numId w:val="28"/>
              </w:numPr>
              <w:ind w:right="11" w:hanging="361"/>
            </w:pPr>
            <w:r>
              <w:rPr>
                <w:rFonts w:ascii="Arial" w:eastAsia="Arial" w:hAnsi="Arial" w:cs="Arial"/>
              </w:rPr>
              <w:t xml:space="preserve">wykluczenia wykonawcy w przypadku skazania za przestępstwa przeciwko wiarygodności dokumentów, </w:t>
            </w:r>
            <w:r>
              <w:rPr>
                <w:rFonts w:ascii="Arial" w:eastAsia="Arial" w:hAnsi="Arial" w:cs="Arial"/>
              </w:rPr>
              <w:lastRenderedPageBreak/>
              <w:t xml:space="preserve">przestępstwa przeciwko mieniu i przestępstwa przeciwko obrotowi gospodarczemu (art. 24 ust. 1 pkt 13 lit. a) i pkt 14 ustawy Pzp), tj. m.in. za przestępstwa, o których mowa w art. 270-309 Kodeksu karnego </w:t>
            </w:r>
          </w:p>
          <w:p w:rsidR="00025B8E" w:rsidRDefault="00C13F2C">
            <w:pPr>
              <w:spacing w:after="45" w:line="266" w:lineRule="auto"/>
              <w:ind w:left="721"/>
            </w:pPr>
            <w:r>
              <w:rPr>
                <w:rFonts w:ascii="Arial" w:eastAsia="Arial" w:hAnsi="Arial" w:cs="Arial"/>
              </w:rPr>
              <w:t xml:space="preserve">[przestępstwa wiarygodności dokumentów, przestępstwa przeciwko mieniu i przestępstwa przeciwko obrotowi gospodarczemu] – w tym zakresie wykonawca powinien dodatkowo wykazać ewentualne środki naprawcze; </w:t>
            </w:r>
          </w:p>
          <w:p w:rsidR="00025B8E" w:rsidRDefault="00C13F2C">
            <w:pPr>
              <w:numPr>
                <w:ilvl w:val="0"/>
                <w:numId w:val="28"/>
              </w:numPr>
              <w:ind w:right="11" w:hanging="361"/>
            </w:pPr>
            <w:r>
              <w:rPr>
                <w:rFonts w:ascii="Arial" w:eastAsia="Arial" w:hAnsi="Arial" w:cs="Arial"/>
              </w:rPr>
              <w:t xml:space="preserve">wykluczenia wykonawcy będącego podmiotem zbiorowym, wobec którego sąd orzekł zakaz ubiegania </w:t>
            </w:r>
          </w:p>
        </w:tc>
      </w:tr>
      <w:tr w:rsidR="00025B8E">
        <w:trPr>
          <w:trHeight w:val="248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ind w:left="2"/>
            </w:pPr>
            <w:r>
              <w:t xml:space="preserve">Czy mają zastosowanie </w:t>
            </w:r>
            <w:r>
              <w:rPr>
                <w:b/>
              </w:rPr>
              <w:t>podstawy wykluczenia o charakterze wyłącznie krajowym</w:t>
            </w:r>
            <w:r>
              <w:t xml:space="preserve"> określone w stosownym ogłoszeniu lub w dokumentach zamówienia? </w:t>
            </w:r>
          </w:p>
          <w:p w:rsidR="00025B8E" w:rsidRDefault="00C13F2C">
            <w:pPr>
              <w:ind w:left="2"/>
            </w:pPr>
            <w:r>
              <w:t xml:space="preserve">Jeżeli dokumentacja wymagana w stosownym ogłoszeniu lub w dokumentach zamówienia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spacing w:after="3"/>
              <w:ind w:left="2"/>
            </w:pPr>
            <w:r>
              <w:t xml:space="preserve">(adres internetowy, wydający urząd lub organ, dokładne dane referencyjne dokumentacji): </w:t>
            </w:r>
          </w:p>
          <w:p w:rsidR="00025B8E" w:rsidRDefault="00C13F2C">
            <w:pPr>
              <w:ind w:left="2"/>
            </w:pPr>
            <w:r>
              <w:t>[……][……][……] (</w:t>
            </w:r>
            <w:r>
              <w:rPr>
                <w:rFonts w:ascii="Arial" w:eastAsia="Arial" w:hAnsi="Arial" w:cs="Arial"/>
                <w:sz w:val="20"/>
                <w:vertAlign w:val="superscript"/>
              </w:rPr>
              <w:footnoteReference w:id="25"/>
            </w: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433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58" w:lineRule="auto"/>
              <w:ind w:left="2" w:right="21"/>
            </w:pPr>
            <w:r>
              <w:rPr>
                <w:b/>
              </w:rPr>
              <w:lastRenderedPageBreak/>
              <w:t>W przypadku gdy ma zastosowanie którakolwiek z podstaw wykluczenia o charakterze wyłącznie krajowym</w:t>
            </w:r>
            <w:r>
              <w:t xml:space="preserve">, czy wykonawca przedsięwziął środki w celu samooczyszczenia?  </w:t>
            </w:r>
          </w:p>
          <w:p w:rsidR="00025B8E" w:rsidRDefault="00C13F2C">
            <w:pPr>
              <w:ind w:left="2"/>
            </w:pPr>
            <w:r>
              <w:rPr>
                <w:b/>
              </w:rPr>
              <w:t>Jeżeli tak</w:t>
            </w:r>
            <w:r>
              <w:t xml:space="preserve">, proszę opisać przedsięwzięte środki: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66"/>
      </w:pPr>
    </w:p>
    <w:tbl>
      <w:tblPr>
        <w:tblStyle w:val="TableGrid"/>
        <w:tblW w:w="13937" w:type="dxa"/>
        <w:tblInd w:w="17" w:type="dxa"/>
        <w:tblCellMar>
          <w:top w:w="48" w:type="dxa"/>
          <w:left w:w="106" w:type="dxa"/>
          <w:right w:w="54" w:type="dxa"/>
        </w:tblCellMar>
        <w:tblLook w:val="04A0" w:firstRow="1" w:lastRow="0" w:firstColumn="1" w:lastColumn="0" w:noHBand="0" w:noVBand="1"/>
      </w:tblPr>
      <w:tblGrid>
        <w:gridCol w:w="4645"/>
        <w:gridCol w:w="4647"/>
        <w:gridCol w:w="4645"/>
      </w:tblGrid>
      <w:tr w:rsidR="00025B8E">
        <w:trPr>
          <w:trHeight w:val="8810"/>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3" w:line="269" w:lineRule="auto"/>
              <w:ind w:left="721" w:right="38"/>
            </w:pPr>
            <w:r>
              <w:rPr>
                <w:rFonts w:ascii="Arial" w:eastAsia="Arial" w:hAnsi="Arial" w:cs="Arial"/>
              </w:rPr>
              <w:t xml:space="preserve">się o zamówienie (art. 24 ust. 1 pkt 21 ustawy Pzp); zakaz orzekany jest w oparciu o przepisy ustawy z dnia 28 października 2002 r. o odpowiedzialności podmiotów zbiorowych za czyny zabronione pod groźbą kary (Dz. U. z 2015 r. poz. 1212, 1844 i 1855 oraz z 2016 r. poz. 437 i 544) – zasady związane ze stosowaniem środków naprawczych w tym zakresie nie obowiązują </w:t>
            </w:r>
          </w:p>
          <w:p w:rsidR="00025B8E" w:rsidRDefault="00C13F2C">
            <w:pPr>
              <w:spacing w:after="153" w:line="266" w:lineRule="auto"/>
              <w:ind w:left="721" w:right="35" w:hanging="361"/>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t xml:space="preserve">wykluczenia wykonawcy, wobec którego zakaz ubiegania się o zamówienie orzeczono tytułem środka zapobiegawczego (art. 24 ust. 1 pkt 22 ustawy Pzp); środek ten  orzekany jest w oparciu o art. 276 Kodeksu karnego – zasady związane ze stosowaniem środków naprawczych w tym zakresie nie obowiązują. </w:t>
            </w:r>
          </w:p>
          <w:p w:rsidR="00025B8E" w:rsidRDefault="00C13F2C">
            <w:pPr>
              <w:spacing w:after="163"/>
            </w:pPr>
            <w:r>
              <w:rPr>
                <w:rFonts w:ascii="Arial" w:eastAsia="Arial" w:hAnsi="Arial" w:cs="Arial"/>
              </w:rPr>
              <w:t xml:space="preserve"> </w:t>
            </w:r>
          </w:p>
          <w:p w:rsidR="00025B8E" w:rsidRDefault="00C13F2C">
            <w:r>
              <w:rPr>
                <w:rFonts w:ascii="Arial" w:eastAsia="Arial" w:hAnsi="Arial" w:cs="Arial"/>
              </w:rPr>
              <w:t xml:space="preserve">Ponadto mocą art. 24 ust. 1 pkt 23 ustawy Pzp ustawodawca przewidział krajową obligatoryjną podstawę do badania wykonawcy pod kątem wykluczenia z postępowania. Zgodnie z tym przepisem  zamawiający ma obowiązek wykluczyć z udziału w postępowaniu wykonawców, którzy należąc do tej samej grupy kapitałowej, w rozumieniu ustawy z dnia 16 lutego 2007 r. o </w:t>
            </w:r>
          </w:p>
        </w:tc>
      </w:tr>
      <w:tr w:rsidR="00025B8E">
        <w:trPr>
          <w:trHeight w:val="5358"/>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ochronie konkurencji i konsumentów (Dz. U. </w:t>
            </w:r>
          </w:p>
          <w:p w:rsidR="00025B8E" w:rsidRDefault="00C13F2C">
            <w:pPr>
              <w:ind w:right="29"/>
            </w:pPr>
            <w:r>
              <w:rPr>
                <w:rFonts w:ascii="Arial" w:eastAsia="Arial" w:hAnsi="Arial" w:cs="Arial"/>
              </w:rPr>
              <w:t>z 2015 r. poz. 184, 1618 i 1634), złożyli odrębne oferty, chyba że wykażą, że istniejące między nimi powiązania nie prowadzą do zachwiania uczciwej konkurencji w postępowaniu o udzielenie zamówienia. Zgodnie z art. 24 ust. 11 ustawy Pzp, oświadczenie w tym zakresie wykonawca składa</w:t>
            </w:r>
            <w:r>
              <w:t xml:space="preserve"> </w:t>
            </w:r>
            <w:r>
              <w:rPr>
                <w:rFonts w:ascii="Arial" w:eastAsia="Arial" w:hAnsi="Arial" w:cs="Arial"/>
              </w:rPr>
              <w:t xml:space="preserve">w terminie 3 dni od dnia przekazania informacji o wynikach oceny spełniania warunków udziału w postępowaniu albo od zamieszczenia na stronie internetowej informacji z otwarcia ofert zamieszczanych zgodnie z art. 86 ust. 3 ustawy. </w:t>
            </w:r>
            <w:r>
              <w:rPr>
                <w:rFonts w:ascii="Arial" w:eastAsia="Arial" w:hAnsi="Arial" w:cs="Arial"/>
                <w:u w:val="single" w:color="000000"/>
              </w:rPr>
              <w:t>W związku z tym oświadczenia</w:t>
            </w:r>
            <w:r>
              <w:rPr>
                <w:rFonts w:ascii="Arial" w:eastAsia="Arial" w:hAnsi="Arial" w:cs="Arial"/>
              </w:rPr>
              <w:t xml:space="preserve"> </w:t>
            </w:r>
            <w:r>
              <w:rPr>
                <w:rFonts w:ascii="Arial" w:eastAsia="Arial" w:hAnsi="Arial" w:cs="Arial"/>
                <w:u w:val="single" w:color="000000"/>
              </w:rPr>
              <w:t xml:space="preserve">zawarte w formularzu JEDZ </w:t>
            </w:r>
            <w:r>
              <w:rPr>
                <w:rFonts w:ascii="Arial" w:eastAsia="Arial" w:hAnsi="Arial" w:cs="Arial"/>
              </w:rPr>
              <w:t xml:space="preserve">nie obejmują </w:t>
            </w:r>
            <w:r>
              <w:rPr>
                <w:rFonts w:ascii="Arial" w:eastAsia="Arial" w:hAnsi="Arial" w:cs="Arial"/>
                <w:u w:val="single" w:color="000000"/>
              </w:rPr>
              <w:t>oświadczenia dotyczącego grupy kapitałowej</w:t>
            </w:r>
            <w:r>
              <w:rPr>
                <w:rFonts w:ascii="Arial" w:eastAsia="Arial" w:hAnsi="Arial" w:cs="Arial"/>
              </w:rPr>
              <w:t xml:space="preserve"> </w:t>
            </w:r>
            <w:r>
              <w:rPr>
                <w:rFonts w:ascii="Arial" w:eastAsia="Arial" w:hAnsi="Arial" w:cs="Arial"/>
                <w:u w:val="single" w:color="000000"/>
              </w:rPr>
              <w:t>składanego na podstawie art. 24 ust. 11</w:t>
            </w:r>
            <w:r>
              <w:rPr>
                <w:rFonts w:ascii="Arial" w:eastAsia="Arial" w:hAnsi="Arial" w:cs="Arial"/>
              </w:rPr>
              <w:t xml:space="preserve"> </w:t>
            </w:r>
            <w:r>
              <w:rPr>
                <w:rFonts w:ascii="Arial" w:eastAsia="Arial" w:hAnsi="Arial" w:cs="Arial"/>
                <w:u w:val="single" w:color="000000"/>
              </w:rPr>
              <w:t>ustawy Pzp</w:t>
            </w:r>
            <w:r>
              <w:rPr>
                <w:rFonts w:ascii="Arial" w:eastAsia="Arial" w:hAnsi="Arial" w:cs="Arial"/>
              </w:rPr>
              <w:t xml:space="preserve">. </w:t>
            </w:r>
          </w:p>
        </w:tc>
      </w:tr>
    </w:tbl>
    <w:p w:rsidR="00025B8E" w:rsidRDefault="00C13F2C">
      <w:pPr>
        <w:spacing w:after="0"/>
        <w:ind w:left="12"/>
        <w:jc w:val="both"/>
      </w:pPr>
      <w:r>
        <w:rPr>
          <w:rFonts w:ascii="Arial" w:eastAsia="Arial" w:hAnsi="Arial" w:cs="Arial"/>
        </w:rPr>
        <w:t xml:space="preserve"> </w:t>
      </w:r>
      <w:r>
        <w:rPr>
          <w:rFonts w:ascii="Arial" w:eastAsia="Arial" w:hAnsi="Arial" w:cs="Arial"/>
        </w:rPr>
        <w:tab/>
        <w:t xml:space="preserve"> </w:t>
      </w:r>
    </w:p>
    <w:p w:rsidR="00025B8E" w:rsidRDefault="00C13F2C">
      <w:pPr>
        <w:pStyle w:val="Nagwek2"/>
        <w:ind w:left="18"/>
      </w:pPr>
      <w:r>
        <w:t xml:space="preserve">Część IV: Kryteria kwalifikacji </w:t>
      </w:r>
    </w:p>
    <w:p w:rsidR="00025B8E" w:rsidRDefault="00C13F2C">
      <w:pPr>
        <w:spacing w:after="202"/>
        <w:ind w:left="12"/>
      </w:pPr>
      <w:r>
        <w:rPr>
          <w:b/>
          <w:i/>
        </w:rPr>
        <w:t xml:space="preserve">W odniesieniu do kryteriów kwalifikacji (sekcja </w:t>
      </w:r>
      <w:r>
        <w:rPr>
          <w:rFonts w:ascii="Segoe UI Symbol" w:eastAsia="Segoe UI Symbol" w:hAnsi="Segoe UI Symbol" w:cs="Segoe UI Symbol"/>
          <w:sz w:val="23"/>
        </w:rPr>
        <w:t></w:t>
      </w:r>
      <w:r>
        <w:rPr>
          <w:b/>
          <w:i/>
        </w:rPr>
        <w:t xml:space="preserve"> lub sekcje A–D w niniejszej części) wykonawca oświadcza, że:</w:t>
      </w:r>
      <w:r>
        <w:t xml:space="preserve"> </w:t>
      </w:r>
    </w:p>
    <w:p w:rsidR="00025B8E" w:rsidRDefault="00C13F2C">
      <w:pPr>
        <w:spacing w:after="57"/>
        <w:ind w:left="10" w:right="3174" w:hanging="10"/>
        <w:jc w:val="right"/>
      </w:pPr>
      <w:r>
        <w:rPr>
          <w:rFonts w:ascii="Segoe UI Symbol" w:eastAsia="Segoe UI Symbol" w:hAnsi="Segoe UI Symbol" w:cs="Segoe UI Symbol"/>
        </w:rPr>
        <w:t></w:t>
      </w:r>
      <w:r>
        <w:rPr>
          <w:rFonts w:ascii="Times New Roman" w:eastAsia="Times New Roman" w:hAnsi="Times New Roman" w:cs="Times New Roman"/>
          <w:b/>
        </w:rPr>
        <w:t>:</w:t>
      </w:r>
      <w:r>
        <w:rPr>
          <w:rFonts w:ascii="Times New Roman" w:eastAsia="Times New Roman" w:hAnsi="Times New Roman" w:cs="Times New Roman"/>
          <w:b/>
          <w:sz w:val="18"/>
        </w:rPr>
        <w:t xml:space="preserve"> </w:t>
      </w:r>
      <w:r>
        <w:rPr>
          <w:rFonts w:ascii="Times New Roman" w:eastAsia="Times New Roman" w:hAnsi="Times New Roman" w:cs="Times New Roman"/>
          <w:b/>
        </w:rPr>
        <w:t>O</w:t>
      </w:r>
      <w:r>
        <w:rPr>
          <w:rFonts w:ascii="Times New Roman" w:eastAsia="Times New Roman" w:hAnsi="Times New Roman" w:cs="Times New Roman"/>
          <w:b/>
          <w:sz w:val="18"/>
        </w:rPr>
        <w:t>GÓLNE OŚWIADCZENIE DOTYCZĄCE WSZYSTKICH KRYTERIÓW KWALIFIKACJI</w:t>
      </w:r>
      <w:r>
        <w:rPr>
          <w:rFonts w:ascii="Times New Roman" w:eastAsia="Times New Roman" w:hAnsi="Times New Roman" w:cs="Times New Roman"/>
          <w:b/>
        </w:rPr>
        <w:t xml:space="preserve"> </w:t>
      </w:r>
    </w:p>
    <w:tbl>
      <w:tblPr>
        <w:tblStyle w:val="TableGrid"/>
        <w:tblW w:w="13820" w:type="dxa"/>
        <w:tblInd w:w="18" w:type="dxa"/>
        <w:tblCellMar>
          <w:top w:w="8" w:type="dxa"/>
          <w:left w:w="106" w:type="dxa"/>
          <w:right w:w="47" w:type="dxa"/>
        </w:tblCellMar>
        <w:tblLook w:val="04A0" w:firstRow="1" w:lastRow="0" w:firstColumn="1" w:lastColumn="0" w:noHBand="0" w:noVBand="1"/>
      </w:tblPr>
      <w:tblGrid>
        <w:gridCol w:w="4604"/>
        <w:gridCol w:w="3469"/>
        <w:gridCol w:w="5747"/>
      </w:tblGrid>
      <w:tr w:rsidR="00025B8E">
        <w:trPr>
          <w:trHeight w:val="1628"/>
        </w:trPr>
        <w:tc>
          <w:tcPr>
            <w:tcW w:w="8074"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53"/>
              <w:jc w:val="both"/>
            </w:pPr>
            <w:r>
              <w:rPr>
                <w:b/>
              </w:rPr>
              <w:t xml:space="preserve">Wykonawca powinien wypełnić to pole jedynie w przypadku gdy instytucja zamawiająca lub podmiot zamawiający wskazały w stosownym ogłoszeniu lub w dokumentach zamówienia, o których mowa w ogłoszeniu, że wykonawca może ograniczyć się do wypełnienia sekcji </w:t>
            </w:r>
            <w:r>
              <w:rPr>
                <w:rFonts w:ascii="Segoe UI Symbol" w:eastAsia="Segoe UI Symbol" w:hAnsi="Segoe UI Symbol" w:cs="Segoe UI Symbol"/>
              </w:rPr>
              <w:t></w:t>
            </w:r>
            <w:r>
              <w:rPr>
                <w:b/>
              </w:rPr>
              <w:t xml:space="preserve"> w części IV i nie musi wypełniać żadnej z pozostałych sekcji w części IV: </w:t>
            </w:r>
          </w:p>
        </w:tc>
        <w:tc>
          <w:tcPr>
            <w:tcW w:w="57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752"/>
        </w:trPr>
        <w:tc>
          <w:tcPr>
            <w:tcW w:w="4605" w:type="dxa"/>
            <w:tcBorders>
              <w:top w:val="single" w:sz="4" w:space="0" w:color="000000"/>
              <w:left w:val="single" w:sz="4" w:space="0" w:color="000000"/>
              <w:bottom w:val="single" w:sz="4" w:space="0" w:color="000000"/>
              <w:right w:val="single" w:sz="4" w:space="0" w:color="000000"/>
            </w:tcBorders>
          </w:tcPr>
          <w:p w:rsidR="00025B8E" w:rsidRDefault="00C13F2C">
            <w:r>
              <w:rPr>
                <w:b/>
              </w:rPr>
              <w:lastRenderedPageBreak/>
              <w:t xml:space="preserve">Spełnienie wszystkich wymaganych kryteriów kwalifikacji </w:t>
            </w:r>
          </w:p>
        </w:tc>
        <w:tc>
          <w:tcPr>
            <w:tcW w:w="3468"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5747"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53" w:line="266" w:lineRule="auto"/>
              <w:ind w:left="1"/>
            </w:pPr>
            <w:r>
              <w:rPr>
                <w:rFonts w:ascii="Arial" w:eastAsia="Arial" w:hAnsi="Arial" w:cs="Arial"/>
              </w:rPr>
              <w:t xml:space="preserve">W tym miejscu formularz JEDZ przewiduje możliwość złożenia przez wykonawcę ogólnego oświadczenia o spełnieniu warunków udziału w postępowaniu (kryteriów kwalifikacji), co pozwala wykonawcy na niewypełnianie dalszych pół odnoszących się do szczegółowych warunków udziału  w postępowaniu (kryteriów kwalifikacji) określonych przez zamawiającego.  </w:t>
            </w:r>
          </w:p>
          <w:p w:rsidR="00025B8E" w:rsidRDefault="00C13F2C">
            <w:pPr>
              <w:ind w:left="1"/>
            </w:pPr>
            <w:r>
              <w:rPr>
                <w:rFonts w:ascii="Arial" w:eastAsia="Arial" w:hAnsi="Arial" w:cs="Arial"/>
              </w:rPr>
              <w:t xml:space="preserve">Formularz JEDZ w tym przypadku wymaga jedynie od zamawiającego, aby w ogłoszeniu o zamówieniu lub dokumentach zamówienia (SIWZ) wskazał, że wykonawca może ograniczyć się do wypełniania sekcji </w:t>
            </w:r>
            <w:r>
              <w:rPr>
                <w:rFonts w:ascii="Segoe UI Symbol" w:eastAsia="Segoe UI Symbol" w:hAnsi="Segoe UI Symbol" w:cs="Segoe UI Symbol"/>
              </w:rPr>
              <w:t></w:t>
            </w:r>
            <w:r>
              <w:rPr>
                <w:rFonts w:ascii="Arial" w:eastAsia="Arial" w:hAnsi="Arial" w:cs="Arial"/>
              </w:rPr>
              <w:t xml:space="preserve"> części IV formularza. Decyzja w tym zakresie należy do zamawiającego. Tym samym, w przypadku takiego zastrzeżenia zamawiającego, wykonawca nie musi wypełniać żadnej z pozostałych sekcji części IV formularza dotyczącej kryteriów kwalifikacji, zaś właściwej (dowodowej) weryfikacji spełniania konkretnych, określonych przez zamawiającego, warunków udziału w postępowaniu (kryteriów selekcji) zamawiający dokona co do zasady na zakończenie </w:t>
            </w:r>
          </w:p>
        </w:tc>
      </w:tr>
      <w:tr w:rsidR="00025B8E">
        <w:trPr>
          <w:trHeight w:val="4899"/>
        </w:trPr>
        <w:tc>
          <w:tcPr>
            <w:tcW w:w="4605" w:type="dxa"/>
            <w:tcBorders>
              <w:top w:val="single" w:sz="4" w:space="0" w:color="000000"/>
              <w:left w:val="single" w:sz="4" w:space="0" w:color="000000"/>
              <w:bottom w:val="single" w:sz="4" w:space="0" w:color="000000"/>
              <w:right w:val="single" w:sz="4" w:space="0" w:color="000000"/>
            </w:tcBorders>
          </w:tcPr>
          <w:p w:rsidR="00025B8E" w:rsidRDefault="00C13F2C">
            <w:r>
              <w:t xml:space="preserve">Spełnia wymagane kryteria kwalifikacji: </w:t>
            </w:r>
          </w:p>
        </w:tc>
        <w:tc>
          <w:tcPr>
            <w:tcW w:w="3468"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Tak [] Nie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3608"/>
        </w:trPr>
        <w:tc>
          <w:tcPr>
            <w:tcW w:w="4605" w:type="dxa"/>
            <w:tcBorders>
              <w:top w:val="single" w:sz="4" w:space="0" w:color="000000"/>
              <w:left w:val="single" w:sz="4" w:space="0" w:color="000000"/>
              <w:bottom w:val="single" w:sz="4" w:space="0" w:color="000000"/>
              <w:right w:val="single" w:sz="4" w:space="0" w:color="000000"/>
            </w:tcBorders>
          </w:tcPr>
          <w:p w:rsidR="00025B8E" w:rsidRDefault="00025B8E"/>
        </w:tc>
        <w:tc>
          <w:tcPr>
            <w:tcW w:w="3468" w:type="dxa"/>
            <w:tcBorders>
              <w:top w:val="single" w:sz="4" w:space="0" w:color="000000"/>
              <w:left w:val="single" w:sz="4" w:space="0" w:color="000000"/>
              <w:bottom w:val="single" w:sz="4" w:space="0" w:color="000000"/>
              <w:right w:val="single" w:sz="4" w:space="0" w:color="000000"/>
            </w:tcBorders>
          </w:tcPr>
          <w:p w:rsidR="00025B8E" w:rsidRDefault="00025B8E"/>
        </w:tc>
        <w:tc>
          <w:tcPr>
            <w:tcW w:w="5747" w:type="dxa"/>
            <w:tcBorders>
              <w:top w:val="single" w:sz="4" w:space="0" w:color="000000"/>
              <w:left w:val="single" w:sz="4" w:space="0" w:color="000000"/>
              <w:bottom w:val="single" w:sz="4" w:space="0" w:color="000000"/>
              <w:right w:val="single" w:sz="4" w:space="0" w:color="000000"/>
            </w:tcBorders>
          </w:tcPr>
          <w:p w:rsidR="00025B8E" w:rsidRDefault="00C13F2C">
            <w:pPr>
              <w:spacing w:after="137" w:line="281" w:lineRule="auto"/>
            </w:pPr>
            <w:r>
              <w:rPr>
                <w:rFonts w:ascii="Arial" w:eastAsia="Arial" w:hAnsi="Arial" w:cs="Arial"/>
              </w:rPr>
              <w:t xml:space="preserve">postępowania w oparciu o stosowne dokumenty składane  przez wykonawcę, którego oferta została oceniona najwyżej, na wezwanie zamawiającego (art. 26 ust. 1 ustawy Pzp).  </w:t>
            </w:r>
          </w:p>
          <w:p w:rsidR="00025B8E" w:rsidRDefault="00C13F2C">
            <w:r>
              <w:rPr>
                <w:rFonts w:ascii="Arial" w:eastAsia="Arial" w:hAnsi="Arial" w:cs="Arial"/>
              </w:rPr>
              <w:t xml:space="preserve">Choć ustawa Pzp nie przewiduje wprost odpowiedniej, szczegółowej regulacji w tym zakresie, to takie ogólne oświadczenie o spełnianiu wszystkich wymaganych kryteriów kwalifikacji spełnia wymogi oświadczenia wykonawcy o wstępnym potwierdzeniu spełniania warunków udziału w postępowaniu (kryteriów kwalifikacji), o którym mowa w art. 25a ust. 1 i 2 ustawy Pzp. </w:t>
            </w:r>
          </w:p>
        </w:tc>
      </w:tr>
    </w:tbl>
    <w:p w:rsidR="00025B8E" w:rsidRDefault="00C13F2C">
      <w:pPr>
        <w:spacing w:after="99"/>
        <w:ind w:left="20" w:hanging="10"/>
        <w:jc w:val="center"/>
      </w:pPr>
      <w:r>
        <w:rPr>
          <w:rFonts w:ascii="Times New Roman" w:eastAsia="Times New Roman" w:hAnsi="Times New Roman" w:cs="Times New Roman"/>
          <w:b/>
        </w:rPr>
        <w:t>A:</w:t>
      </w:r>
      <w:r>
        <w:rPr>
          <w:rFonts w:ascii="Times New Roman" w:eastAsia="Times New Roman" w:hAnsi="Times New Roman" w:cs="Times New Roman"/>
          <w:b/>
          <w:sz w:val="18"/>
        </w:rPr>
        <w:t xml:space="preserve"> </w:t>
      </w:r>
      <w:r>
        <w:rPr>
          <w:rFonts w:ascii="Times New Roman" w:eastAsia="Times New Roman" w:hAnsi="Times New Roman" w:cs="Times New Roman"/>
          <w:b/>
        </w:rPr>
        <w:t>K</w:t>
      </w:r>
      <w:r>
        <w:rPr>
          <w:rFonts w:ascii="Times New Roman" w:eastAsia="Times New Roman" w:hAnsi="Times New Roman" w:cs="Times New Roman"/>
          <w:b/>
          <w:sz w:val="18"/>
        </w:rPr>
        <w:t>OMPETENCJE</w:t>
      </w:r>
      <w:r>
        <w:rPr>
          <w:rFonts w:ascii="Times New Roman" w:eastAsia="Times New Roman" w:hAnsi="Times New Roman" w:cs="Times New Roman"/>
          <w:b/>
        </w:rPr>
        <w:t xml:space="preserve"> </w:t>
      </w:r>
    </w:p>
    <w:tbl>
      <w:tblPr>
        <w:tblStyle w:val="TableGrid"/>
        <w:tblW w:w="13993" w:type="dxa"/>
        <w:tblInd w:w="18" w:type="dxa"/>
        <w:tblCellMar>
          <w:top w:w="8" w:type="dxa"/>
          <w:left w:w="107" w:type="dxa"/>
          <w:right w:w="58" w:type="dxa"/>
        </w:tblCellMar>
        <w:tblLook w:val="04A0" w:firstRow="1" w:lastRow="0" w:firstColumn="1" w:lastColumn="0" w:noHBand="0" w:noVBand="1"/>
      </w:tblPr>
      <w:tblGrid>
        <w:gridCol w:w="4039"/>
        <w:gridCol w:w="4049"/>
        <w:gridCol w:w="5905"/>
      </w:tblGrid>
      <w:tr w:rsidR="00025B8E">
        <w:trPr>
          <w:trHeight w:val="1037"/>
        </w:trPr>
        <w:tc>
          <w:tcPr>
            <w:tcW w:w="80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49"/>
              <w:jc w:val="both"/>
            </w:pPr>
            <w:r>
              <w:rPr>
                <w:b/>
              </w:rPr>
              <w:t xml:space="preserve">Wykonawca powinien przedstawić informacje jedynie w przypadku gdy instytucja zamawiająca lub podmiot zamawiający wymagają danych kryteriów kwalifikacji w stosownym ogłoszeniu lub w dokumentach zamówienia, o których mowa w ogłoszeniu. </w:t>
            </w:r>
          </w:p>
        </w:tc>
        <w:tc>
          <w:tcPr>
            <w:tcW w:w="5905"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462"/>
        </w:trPr>
        <w:tc>
          <w:tcPr>
            <w:tcW w:w="4039"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Kompetencje </w:t>
            </w:r>
          </w:p>
        </w:tc>
        <w:tc>
          <w:tcPr>
            <w:tcW w:w="4049"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5905"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2513"/>
        </w:trPr>
        <w:tc>
          <w:tcPr>
            <w:tcW w:w="4039" w:type="dxa"/>
            <w:tcBorders>
              <w:top w:val="single" w:sz="4" w:space="0" w:color="000000"/>
              <w:left w:val="single" w:sz="4" w:space="0" w:color="000000"/>
              <w:bottom w:val="single" w:sz="4" w:space="0" w:color="000000"/>
              <w:right w:val="single" w:sz="4" w:space="0" w:color="000000"/>
            </w:tcBorders>
          </w:tcPr>
          <w:p w:rsidR="00025B8E" w:rsidRDefault="00C13F2C">
            <w:pPr>
              <w:spacing w:after="14"/>
            </w:pPr>
            <w:r>
              <w:t>1)</w:t>
            </w:r>
            <w:r>
              <w:rPr>
                <w:b/>
              </w:rPr>
              <w:t xml:space="preserve"> Figuruje w odpowiednim rejestrze zawodowym lub handlowym</w:t>
            </w:r>
            <w:r>
              <w:t xml:space="preserve"> prowadzonym w państwie członkowskim siedziby wykonawcy (</w:t>
            </w:r>
            <w:r>
              <w:rPr>
                <w:rFonts w:ascii="Arial" w:eastAsia="Arial" w:hAnsi="Arial" w:cs="Arial"/>
                <w:sz w:val="20"/>
                <w:vertAlign w:val="superscript"/>
              </w:rPr>
              <w:footnoteReference w:id="26"/>
            </w:r>
            <w:r>
              <w:t xml:space="preserve">): </w:t>
            </w:r>
          </w:p>
          <w:p w:rsidR="00025B8E" w:rsidRDefault="00C13F2C">
            <w:r>
              <w:t xml:space="preserve">Jeżeli odnośna dokumentacja jest dostępna w formie elektronicznej, proszę wskazać: </w:t>
            </w:r>
          </w:p>
        </w:tc>
        <w:tc>
          <w:tcPr>
            <w:tcW w:w="4049"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(adres internetowy, wydający urząd lub organ, dokładne dane referencyjne dokumentacji): [……][……][……] </w:t>
            </w:r>
          </w:p>
        </w:tc>
        <w:tc>
          <w:tcPr>
            <w:tcW w:w="5905" w:type="dxa"/>
            <w:tcBorders>
              <w:top w:val="single" w:sz="4" w:space="0" w:color="000000"/>
              <w:left w:val="single" w:sz="4" w:space="0" w:color="000000"/>
              <w:bottom w:val="single" w:sz="4" w:space="0" w:color="000000"/>
              <w:right w:val="single" w:sz="4" w:space="0" w:color="000000"/>
            </w:tcBorders>
          </w:tcPr>
          <w:p w:rsidR="00025B8E" w:rsidRDefault="00C13F2C">
            <w:pPr>
              <w:spacing w:after="197" w:line="258" w:lineRule="auto"/>
              <w:ind w:left="1"/>
            </w:pPr>
            <w:r>
              <w:rPr>
                <w:rFonts w:ascii="Arial" w:eastAsia="Arial" w:hAnsi="Arial" w:cs="Arial"/>
              </w:rPr>
              <w:t xml:space="preserve">Wykonawcy nie mają obowiązku wypełniania tej sekcji formularza, jeżeli zamawiający nie określił warunków udziału w postępowaniu odnoszących się do kompetencji i uprawnień do prowadzenia określonej działalności zawodowej, o ile wynika to z odrębnych przepisów (art. 22 ust. 1b pkt 1 ustawy Pzp). </w:t>
            </w:r>
          </w:p>
          <w:p w:rsidR="00025B8E" w:rsidRDefault="00C13F2C">
            <w:pPr>
              <w:ind w:left="1"/>
            </w:pPr>
            <w:r>
              <w:rPr>
                <w:rFonts w:ascii="Arial" w:eastAsia="Arial" w:hAnsi="Arial" w:cs="Arial"/>
              </w:rPr>
              <w:t xml:space="preserve">W tym miejscu formularz odnosi się przede wszystkim do właściwych rejestrów zawodowych lub handlowych.  </w:t>
            </w:r>
          </w:p>
        </w:tc>
      </w:tr>
    </w:tbl>
    <w:p w:rsidR="00025B8E" w:rsidRDefault="00025B8E">
      <w:pPr>
        <w:spacing w:after="0"/>
        <w:ind w:left="-1406" w:right="8"/>
      </w:pPr>
    </w:p>
    <w:tbl>
      <w:tblPr>
        <w:tblStyle w:val="TableGrid"/>
        <w:tblW w:w="13994" w:type="dxa"/>
        <w:tblInd w:w="17" w:type="dxa"/>
        <w:tblCellMar>
          <w:top w:w="9" w:type="dxa"/>
          <w:left w:w="106" w:type="dxa"/>
          <w:right w:w="47" w:type="dxa"/>
        </w:tblCellMar>
        <w:tblLook w:val="04A0" w:firstRow="1" w:lastRow="0" w:firstColumn="1" w:lastColumn="0" w:noHBand="0" w:noVBand="1"/>
      </w:tblPr>
      <w:tblGrid>
        <w:gridCol w:w="4039"/>
        <w:gridCol w:w="4052"/>
        <w:gridCol w:w="5903"/>
      </w:tblGrid>
      <w:tr w:rsidR="00025B8E">
        <w:trPr>
          <w:trHeight w:val="8522"/>
        </w:trPr>
        <w:tc>
          <w:tcPr>
            <w:tcW w:w="4040" w:type="dxa"/>
            <w:tcBorders>
              <w:top w:val="single" w:sz="4" w:space="0" w:color="000000"/>
              <w:left w:val="single" w:sz="4" w:space="0" w:color="000000"/>
              <w:bottom w:val="single" w:sz="4" w:space="0" w:color="000000"/>
              <w:right w:val="single" w:sz="4" w:space="0" w:color="000000"/>
            </w:tcBorders>
          </w:tcPr>
          <w:p w:rsidR="00025B8E" w:rsidRDefault="00025B8E"/>
        </w:tc>
        <w:tc>
          <w:tcPr>
            <w:tcW w:w="4052" w:type="dxa"/>
            <w:tcBorders>
              <w:top w:val="single" w:sz="4" w:space="0" w:color="000000"/>
              <w:left w:val="single" w:sz="4" w:space="0" w:color="000000"/>
              <w:bottom w:val="single" w:sz="4" w:space="0" w:color="000000"/>
              <w:right w:val="single" w:sz="4" w:space="0" w:color="000000"/>
            </w:tcBorders>
          </w:tcPr>
          <w:p w:rsidR="00025B8E" w:rsidRDefault="00025B8E"/>
        </w:tc>
        <w:tc>
          <w:tcPr>
            <w:tcW w:w="5903" w:type="dxa"/>
            <w:tcBorders>
              <w:top w:val="single" w:sz="4" w:space="0" w:color="000000"/>
              <w:left w:val="single" w:sz="4" w:space="0" w:color="000000"/>
              <w:bottom w:val="single" w:sz="4" w:space="0" w:color="000000"/>
              <w:right w:val="single" w:sz="4" w:space="0" w:color="000000"/>
            </w:tcBorders>
          </w:tcPr>
          <w:p w:rsidR="00025B8E" w:rsidRDefault="00C13F2C">
            <w:pPr>
              <w:spacing w:line="267" w:lineRule="auto"/>
            </w:pPr>
            <w:r>
              <w:rPr>
                <w:rFonts w:ascii="Arial" w:eastAsia="Arial" w:hAnsi="Arial" w:cs="Arial"/>
              </w:rPr>
              <w:t xml:space="preserve">Na mocy art. 22b ust. 1 ustawy Pzp w odniesieniu do warunków udziału w postępowaniu dotyczących kompetencji i uprawnień do prowadzenia określonej działalności zawodowej zamawiający może wymagać, aby </w:t>
            </w:r>
          </w:p>
          <w:p w:rsidR="00025B8E" w:rsidRDefault="00C13F2C">
            <w:pPr>
              <w:spacing w:line="258" w:lineRule="auto"/>
            </w:pPr>
            <w:r>
              <w:rPr>
                <w:rFonts w:ascii="Arial" w:eastAsia="Arial" w:hAnsi="Arial" w:cs="Arial"/>
              </w:rPr>
              <w:t xml:space="preserve">wykonawcy byli wpisani do jednego z rejestrów zawodowych lub handlowych prowadzonych w państwie członkowskim Unii Europejskiej, w którym posiadają siedzibę, określonych w załączniku XI do dyrektywy 2014/24/UE lub w załączniku VII do dyrektywy Parlamentu Europejskiego i Rady 2009/81/WE z dnia 13 lipca 2009 r. </w:t>
            </w:r>
          </w:p>
          <w:p w:rsidR="00025B8E" w:rsidRDefault="00C13F2C">
            <w:pPr>
              <w:spacing w:line="266" w:lineRule="auto"/>
            </w:pPr>
            <w:r>
              <w:rPr>
                <w:rFonts w:ascii="Arial" w:eastAsia="Arial" w:hAnsi="Arial" w:cs="Arial"/>
              </w:rPr>
              <w:t xml:space="preserve">w sprawie koordynacji procedur udzielania niektórych zamówień na roboty budowlane, dostawy i usługi przez instytucje lub podmioty zamawiające w dziedzinach obronności i bezpieczeństwa i zmieniającej dyrektywy 2004/17/WE i 2004/18/WE (Dz. Urz. UE L 216 z </w:t>
            </w:r>
          </w:p>
          <w:p w:rsidR="00025B8E" w:rsidRDefault="00C13F2C">
            <w:pPr>
              <w:spacing w:after="120" w:line="295" w:lineRule="auto"/>
            </w:pPr>
            <w:r>
              <w:rPr>
                <w:rFonts w:ascii="Arial" w:eastAsia="Arial" w:hAnsi="Arial" w:cs="Arial"/>
              </w:rPr>
              <w:t xml:space="preserve">20.08.2009, str. 76), lub aby spełniali wszelkie inne wymogi określone w tych załącznikach. </w:t>
            </w:r>
          </w:p>
          <w:p w:rsidR="00025B8E" w:rsidRDefault="00C13F2C">
            <w:pPr>
              <w:spacing w:after="159" w:line="280" w:lineRule="auto"/>
              <w:ind w:right="16"/>
            </w:pPr>
            <w:r>
              <w:rPr>
                <w:rFonts w:ascii="Arial" w:eastAsia="Arial" w:hAnsi="Arial" w:cs="Arial"/>
              </w:rPr>
              <w:t xml:space="preserve">W przywołanych załącznikach do dyrektyw wskazuje się w odniesieniu do Polski wyłącznie na KRS. W tym zakresie zatem możemy oceniać posiadane kompetencje (np. związane z reprezentacją) wykonawcy wpisanego do KRS, nie zaś uprawienia sensu stricte. </w:t>
            </w:r>
          </w:p>
          <w:p w:rsidR="00025B8E" w:rsidRDefault="00C13F2C">
            <w:pPr>
              <w:spacing w:line="280" w:lineRule="auto"/>
            </w:pPr>
            <w:r>
              <w:rPr>
                <w:rFonts w:ascii="Arial" w:eastAsia="Arial" w:hAnsi="Arial" w:cs="Arial"/>
              </w:rPr>
              <w:t xml:space="preserve">W odniesieniu do polskich wykonawców ubiegających się o zamówienie  istnieje możliwość uzyskania odpowiednich informacji co do kompetencji tych przedsiębiorców bezpośrednio za pomocą bezpłatnych baz danych dostępnych pod adresem, odpowiednio, </w:t>
            </w:r>
          </w:p>
          <w:p w:rsidR="00025B8E" w:rsidRDefault="00506297">
            <w:hyperlink r:id="rId86">
              <w:r w:rsidR="00C13F2C">
                <w:rPr>
                  <w:rFonts w:ascii="Arial" w:eastAsia="Arial" w:hAnsi="Arial" w:cs="Arial"/>
                  <w:color w:val="0563C1"/>
                  <w:u w:val="single" w:color="0563C1"/>
                </w:rPr>
                <w:t>https://ems.ms.gov.pl/krs/wyszukiwaniepodmiotu</w:t>
              </w:r>
            </w:hyperlink>
            <w:hyperlink r:id="rId87">
              <w:r w:rsidR="00C13F2C">
                <w:rPr>
                  <w:rFonts w:ascii="Arial" w:eastAsia="Arial" w:hAnsi="Arial" w:cs="Arial"/>
                </w:rPr>
                <w:t xml:space="preserve"> </w:t>
              </w:r>
            </w:hyperlink>
            <w:r w:rsidR="00C13F2C">
              <w:rPr>
                <w:rFonts w:ascii="Arial" w:eastAsia="Arial" w:hAnsi="Arial" w:cs="Arial"/>
              </w:rPr>
              <w:t xml:space="preserve">oraz </w:t>
            </w:r>
            <w:hyperlink r:id="rId88">
              <w:r w:rsidR="00C13F2C">
                <w:rPr>
                  <w:rFonts w:ascii="Arial" w:eastAsia="Arial" w:hAnsi="Arial" w:cs="Arial"/>
                  <w:color w:val="0563C1"/>
                  <w:u w:val="single" w:color="0563C1"/>
                </w:rPr>
                <w:t>https://prod.ceidg.gov.pl/ceidg/ceidg.public.ui/search.aspx</w:t>
              </w:r>
            </w:hyperlink>
            <w:hyperlink r:id="rId89">
              <w:r w:rsidR="00C13F2C">
                <w:rPr>
                  <w:rFonts w:ascii="Arial" w:eastAsia="Arial" w:hAnsi="Arial" w:cs="Arial"/>
                </w:rPr>
                <w:t>,</w:t>
              </w:r>
            </w:hyperlink>
            <w:r w:rsidR="00C13F2C">
              <w:rPr>
                <w:rFonts w:ascii="Arial" w:eastAsia="Arial" w:hAnsi="Arial" w:cs="Arial"/>
              </w:rPr>
              <w:t xml:space="preserve"> choć bazy te wprost nie określają uprawnień (licencji, </w:t>
            </w:r>
          </w:p>
        </w:tc>
      </w:tr>
    </w:tbl>
    <w:p w:rsidR="00025B8E" w:rsidRDefault="00025B8E">
      <w:pPr>
        <w:spacing w:after="0"/>
        <w:ind w:left="-1406" w:right="8"/>
      </w:pPr>
    </w:p>
    <w:tbl>
      <w:tblPr>
        <w:tblStyle w:val="TableGrid"/>
        <w:tblW w:w="13994" w:type="dxa"/>
        <w:tblInd w:w="17" w:type="dxa"/>
        <w:tblCellMar>
          <w:top w:w="37" w:type="dxa"/>
          <w:left w:w="106" w:type="dxa"/>
          <w:right w:w="64" w:type="dxa"/>
        </w:tblCellMar>
        <w:tblLook w:val="04A0" w:firstRow="1" w:lastRow="0" w:firstColumn="1" w:lastColumn="0" w:noHBand="0" w:noVBand="1"/>
      </w:tblPr>
      <w:tblGrid>
        <w:gridCol w:w="4039"/>
        <w:gridCol w:w="4052"/>
        <w:gridCol w:w="5903"/>
      </w:tblGrid>
      <w:tr w:rsidR="00025B8E">
        <w:trPr>
          <w:trHeight w:val="5132"/>
        </w:trPr>
        <w:tc>
          <w:tcPr>
            <w:tcW w:w="4040" w:type="dxa"/>
            <w:tcBorders>
              <w:top w:val="single" w:sz="4" w:space="0" w:color="000000"/>
              <w:left w:val="single" w:sz="4" w:space="0" w:color="000000"/>
              <w:bottom w:val="single" w:sz="4" w:space="0" w:color="000000"/>
              <w:right w:val="single" w:sz="4" w:space="0" w:color="000000"/>
            </w:tcBorders>
          </w:tcPr>
          <w:p w:rsidR="00025B8E" w:rsidRDefault="00025B8E"/>
        </w:tc>
        <w:tc>
          <w:tcPr>
            <w:tcW w:w="4052" w:type="dxa"/>
            <w:tcBorders>
              <w:top w:val="single" w:sz="4" w:space="0" w:color="000000"/>
              <w:left w:val="single" w:sz="4" w:space="0" w:color="000000"/>
              <w:bottom w:val="single" w:sz="4" w:space="0" w:color="000000"/>
              <w:right w:val="single" w:sz="4" w:space="0" w:color="000000"/>
            </w:tcBorders>
          </w:tcPr>
          <w:p w:rsidR="00025B8E" w:rsidRDefault="00025B8E"/>
        </w:tc>
        <w:tc>
          <w:tcPr>
            <w:tcW w:w="5903" w:type="dxa"/>
            <w:tcBorders>
              <w:top w:val="single" w:sz="4" w:space="0" w:color="000000"/>
              <w:left w:val="single" w:sz="4" w:space="0" w:color="000000"/>
              <w:bottom w:val="single" w:sz="4" w:space="0" w:color="000000"/>
              <w:right w:val="single" w:sz="4" w:space="0" w:color="000000"/>
            </w:tcBorders>
          </w:tcPr>
          <w:p w:rsidR="00025B8E" w:rsidRDefault="00C13F2C">
            <w:pPr>
              <w:spacing w:after="121" w:line="294" w:lineRule="auto"/>
            </w:pPr>
            <w:r>
              <w:rPr>
                <w:rFonts w:ascii="Arial" w:eastAsia="Arial" w:hAnsi="Arial" w:cs="Arial"/>
              </w:rPr>
              <w:t xml:space="preserve">zezwoleń, czy koncesji) do prowadzenia określonego rodzaju działalności. </w:t>
            </w:r>
          </w:p>
          <w:p w:rsidR="00025B8E" w:rsidRDefault="00C13F2C">
            <w:pPr>
              <w:spacing w:after="156" w:line="263" w:lineRule="auto"/>
            </w:pPr>
            <w:r>
              <w:rPr>
                <w:rFonts w:ascii="Arial" w:eastAsia="Arial" w:hAnsi="Arial" w:cs="Arial"/>
              </w:rPr>
              <w:t xml:space="preserve">Odniesienie zawarte w art. 22b ust. 1 ustawy Pzp do właściwych rejestrów zawodowych lub handlowych może mieć istotne znaczenie w kontekście stricte uprawnień dla wykonawców zagranicznych, krajów, w których takie rejestry funkcjonują. </w:t>
            </w:r>
          </w:p>
          <w:p w:rsidR="00025B8E" w:rsidRDefault="00C13F2C">
            <w:pPr>
              <w:spacing w:line="258" w:lineRule="auto"/>
            </w:pPr>
            <w:r>
              <w:rPr>
                <w:rFonts w:ascii="Arial" w:eastAsia="Arial" w:hAnsi="Arial" w:cs="Arial"/>
              </w:rPr>
              <w:t xml:space="preserve">Choć wprost formularz tego nie określa, niezależnie od wpisu do stosownego rejestru, jeżeli odrębne przepisy wymagają posiadania licencji, zezwoleń czy koncesji do prowadzenia określonego rodzaju działalności zamawiający ma możliwość żądania tego typu </w:t>
            </w:r>
          </w:p>
          <w:p w:rsidR="00025B8E" w:rsidRDefault="00C13F2C">
            <w:r>
              <w:rPr>
                <w:rFonts w:ascii="Arial" w:eastAsia="Arial" w:hAnsi="Arial" w:cs="Arial"/>
              </w:rPr>
              <w:t xml:space="preserve">dokumentów. W takim przypadku, na etapie ubiegania się o udzielenie zamówienia, w jednolitym dokumencie w niniejszej rubryce, wykonawca wskazuje posiadane licencje, zezwolenia, koncesje, stosownie do wymagań określonych przez zamawiającego.  </w:t>
            </w:r>
          </w:p>
        </w:tc>
      </w:tr>
      <w:tr w:rsidR="00025B8E">
        <w:trPr>
          <w:trHeight w:val="3068"/>
        </w:trPr>
        <w:tc>
          <w:tcPr>
            <w:tcW w:w="4040" w:type="dxa"/>
            <w:tcBorders>
              <w:top w:val="single" w:sz="4" w:space="0" w:color="000000"/>
              <w:left w:val="single" w:sz="4" w:space="0" w:color="000000"/>
              <w:bottom w:val="single" w:sz="4" w:space="0" w:color="000000"/>
              <w:right w:val="single" w:sz="4" w:space="0" w:color="000000"/>
            </w:tcBorders>
          </w:tcPr>
          <w:p w:rsidR="00025B8E" w:rsidRDefault="00C13F2C">
            <w:pPr>
              <w:ind w:left="2"/>
            </w:pPr>
            <w:r>
              <w:t>2)</w:t>
            </w:r>
            <w:r>
              <w:rPr>
                <w:b/>
              </w:rPr>
              <w:t xml:space="preserve"> W odniesieniu do zamówień publicznych na usługi: </w:t>
            </w:r>
          </w:p>
          <w:p w:rsidR="00025B8E" w:rsidRDefault="00C13F2C">
            <w:pPr>
              <w:ind w:left="2" w:right="43"/>
            </w:pPr>
            <w:r>
              <w:t xml:space="preserve">Czy konieczne jest </w:t>
            </w:r>
            <w:r>
              <w:rPr>
                <w:b/>
              </w:rPr>
              <w:t>posiadanie</w:t>
            </w:r>
            <w:r>
              <w:t xml:space="preserve"> określonego </w:t>
            </w:r>
            <w:r>
              <w:rPr>
                <w:b/>
              </w:rPr>
              <w:t>zezwolenia lub bycie członkiem</w:t>
            </w:r>
            <w:r>
              <w:t xml:space="preserve"> określonej organizacji, aby mieć możliwość świadczenia usługi, o której mowa, w państwie siedziby wykonawcy?  Jeżeli odnośna dokumentacja jest dostępna w formie elektronicznej, proszę wskazać:</w:t>
            </w:r>
            <w:r>
              <w:rPr>
                <w:b/>
              </w:rPr>
              <w:t xml:space="preserve"> </w:t>
            </w:r>
          </w:p>
        </w:tc>
        <w:tc>
          <w:tcPr>
            <w:tcW w:w="4052"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Jeżeli tak, proszę określić, o jakie zezwolenie lub status członkowski chodzi, i wskazać, czy wykonawca je posiada: [ …] [] </w:t>
            </w:r>
          </w:p>
          <w:p w:rsidR="00025B8E" w:rsidRDefault="00C13F2C">
            <w:pPr>
              <w:ind w:left="2"/>
            </w:pPr>
            <w:r>
              <w:t xml:space="preserve">Tak [] Nie </w:t>
            </w:r>
          </w:p>
          <w:p w:rsidR="00025B8E" w:rsidRDefault="00C13F2C">
            <w:pPr>
              <w:ind w:left="2"/>
            </w:pPr>
            <w:r>
              <w:t xml:space="preserve">(adres internetowy, wydający urząd lub organ, dokładne dane referencyjne dokumentacji): [……][……][……] </w:t>
            </w:r>
          </w:p>
        </w:tc>
        <w:tc>
          <w:tcPr>
            <w:tcW w:w="5903" w:type="dxa"/>
            <w:tcBorders>
              <w:top w:val="single" w:sz="4" w:space="0" w:color="000000"/>
              <w:left w:val="single" w:sz="4" w:space="0" w:color="000000"/>
              <w:bottom w:val="single" w:sz="4" w:space="0" w:color="000000"/>
              <w:right w:val="single" w:sz="4" w:space="0" w:color="000000"/>
            </w:tcBorders>
          </w:tcPr>
          <w:p w:rsidR="00025B8E" w:rsidRDefault="00C13F2C">
            <w:pPr>
              <w:spacing w:after="155" w:line="264" w:lineRule="auto"/>
            </w:pPr>
            <w:r>
              <w:rPr>
                <w:rFonts w:ascii="Arial" w:eastAsia="Arial" w:hAnsi="Arial" w:cs="Arial"/>
              </w:rPr>
              <w:t xml:space="preserve">W myśl art. 22b ust. 2 ustawy Pzp w postępowaniu o udzielenie zamówienia na usługi, w zakresie, w jakim wykonawcy muszą posiadać określone zezwolenia lub muszą być członkami określonej organizacji, aby móc świadczyć w swoim kraju pochodzenia określone usługi, zamawiający może wymagać od nich udowodnienia, że posiadają oni takie zezwolenie lub status członkowski. </w:t>
            </w:r>
          </w:p>
          <w:p w:rsidR="00025B8E" w:rsidRDefault="00C13F2C">
            <w:r>
              <w:rPr>
                <w:rFonts w:ascii="Arial" w:eastAsia="Arial" w:hAnsi="Arial" w:cs="Arial"/>
              </w:rPr>
              <w:t xml:space="preserve">Oświadczenie składane na formularzu w tej rubryce odnosi się do wskazanej regulacji. </w:t>
            </w:r>
          </w:p>
        </w:tc>
      </w:tr>
    </w:tbl>
    <w:p w:rsidR="00025B8E" w:rsidRDefault="00C13F2C">
      <w:pPr>
        <w:spacing w:after="368"/>
        <w:ind w:left="64"/>
        <w:jc w:val="center"/>
      </w:pPr>
      <w:r>
        <w:rPr>
          <w:rFonts w:ascii="Times New Roman" w:eastAsia="Times New Roman" w:hAnsi="Times New Roman" w:cs="Times New Roman"/>
          <w:b/>
        </w:rPr>
        <w:t xml:space="preserve"> </w:t>
      </w:r>
    </w:p>
    <w:p w:rsidR="00025B8E" w:rsidRDefault="00C13F2C">
      <w:pPr>
        <w:spacing w:after="99"/>
        <w:ind w:left="10" w:right="5011" w:hanging="10"/>
        <w:jc w:val="right"/>
      </w:pPr>
      <w:r>
        <w:rPr>
          <w:rFonts w:ascii="Times New Roman" w:eastAsia="Times New Roman" w:hAnsi="Times New Roman" w:cs="Times New Roman"/>
          <w:b/>
        </w:rPr>
        <w:lastRenderedPageBreak/>
        <w:t>B:</w:t>
      </w:r>
      <w:r>
        <w:rPr>
          <w:rFonts w:ascii="Times New Roman" w:eastAsia="Times New Roman" w:hAnsi="Times New Roman" w:cs="Times New Roman"/>
          <w:b/>
          <w:sz w:val="18"/>
        </w:rPr>
        <w:t xml:space="preserve"> </w:t>
      </w:r>
      <w:r>
        <w:rPr>
          <w:rFonts w:ascii="Times New Roman" w:eastAsia="Times New Roman" w:hAnsi="Times New Roman" w:cs="Times New Roman"/>
          <w:b/>
        </w:rPr>
        <w:t>S</w:t>
      </w:r>
      <w:r>
        <w:rPr>
          <w:rFonts w:ascii="Times New Roman" w:eastAsia="Times New Roman" w:hAnsi="Times New Roman" w:cs="Times New Roman"/>
          <w:b/>
          <w:sz w:val="18"/>
        </w:rPr>
        <w:t>YTUACJA EKONOMICZNA I FINANSOWA</w:t>
      </w:r>
      <w:r>
        <w:rPr>
          <w:rFonts w:ascii="Times New Roman" w:eastAsia="Times New Roman" w:hAnsi="Times New Roman" w:cs="Times New Roman"/>
          <w:b/>
        </w:rPr>
        <w:t xml:space="preserve"> </w:t>
      </w:r>
    </w:p>
    <w:tbl>
      <w:tblPr>
        <w:tblStyle w:val="TableGrid"/>
        <w:tblW w:w="13936" w:type="dxa"/>
        <w:tblInd w:w="18" w:type="dxa"/>
        <w:tblCellMar>
          <w:top w:w="8" w:type="dxa"/>
          <w:left w:w="107" w:type="dxa"/>
          <w:right w:w="65" w:type="dxa"/>
        </w:tblCellMar>
        <w:tblLook w:val="04A0" w:firstRow="1" w:lastRow="0" w:firstColumn="1" w:lastColumn="0" w:noHBand="0" w:noVBand="1"/>
      </w:tblPr>
      <w:tblGrid>
        <w:gridCol w:w="4645"/>
        <w:gridCol w:w="4644"/>
        <w:gridCol w:w="4647"/>
      </w:tblGrid>
      <w:tr w:rsidR="00025B8E">
        <w:trPr>
          <w:trHeight w:val="1037"/>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47"/>
              <w:jc w:val="both"/>
            </w:pPr>
            <w:r>
              <w:rPr>
                <w:b/>
              </w:rPr>
              <w:t xml:space="preserve">Wykonawca powinien przedstawić informacje jedynie w przypadku gdy instytucja zamawiająca lub podmiot zamawiający wymagają danych kryteriów kwalifikacji w stosownym ogłoszeniu lub w dokumentach zamówienia, o których mowa w ogłoszeniu.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460"/>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Sytuacja ekonomiczna i finansowa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86" w:line="267" w:lineRule="auto"/>
              <w:ind w:left="1"/>
            </w:pPr>
            <w:r>
              <w:rPr>
                <w:rFonts w:ascii="Arial" w:eastAsia="Arial" w:hAnsi="Arial" w:cs="Arial"/>
              </w:rPr>
              <w:t xml:space="preserve">Na mocy art. 22c ust. 1 ustawy Pzp w odniesieniu do warunków udziału w postępowaniu dotyczących sytuacji ekonomicznej lub finansowej, zamawiający może wymagać </w:t>
            </w:r>
            <w:r>
              <w:rPr>
                <w:rFonts w:ascii="Arial" w:eastAsia="Arial" w:hAnsi="Arial" w:cs="Arial"/>
                <w:u w:val="single" w:color="000000"/>
              </w:rPr>
              <w:t>w szczególności</w:t>
            </w:r>
            <w:r>
              <w:rPr>
                <w:rFonts w:ascii="Arial" w:eastAsia="Arial" w:hAnsi="Arial" w:cs="Arial"/>
              </w:rPr>
              <w:t xml:space="preserve">: </w:t>
            </w:r>
          </w:p>
          <w:p w:rsidR="00025B8E" w:rsidRDefault="00C13F2C">
            <w:pPr>
              <w:numPr>
                <w:ilvl w:val="0"/>
                <w:numId w:val="29"/>
              </w:numPr>
              <w:spacing w:after="134" w:line="282" w:lineRule="auto"/>
            </w:pPr>
            <w:r>
              <w:rPr>
                <w:rFonts w:ascii="Arial" w:eastAsia="Arial" w:hAnsi="Arial" w:cs="Arial"/>
              </w:rPr>
              <w:t xml:space="preserve">aby wykonawcy posiadali określony minimalny roczny obrót, w tym określony minimalny roczny obrót w obszarze objętym zamówieniem publicznym; </w:t>
            </w:r>
          </w:p>
          <w:p w:rsidR="00025B8E" w:rsidRDefault="00C13F2C">
            <w:pPr>
              <w:numPr>
                <w:ilvl w:val="0"/>
                <w:numId w:val="29"/>
              </w:numPr>
              <w:spacing w:after="185" w:line="270" w:lineRule="auto"/>
            </w:pPr>
            <w:r>
              <w:rPr>
                <w:rFonts w:ascii="Arial" w:eastAsia="Arial" w:hAnsi="Arial" w:cs="Arial"/>
              </w:rPr>
              <w:t xml:space="preserve">aby wykonawcy przedstawili informacje na temat ich rocznych sprawozdań finansowych wykazujących, w szczególności stosunek aktywów do zobowiązań; </w:t>
            </w:r>
          </w:p>
          <w:p w:rsidR="00025B8E" w:rsidRDefault="00C13F2C">
            <w:pPr>
              <w:numPr>
                <w:ilvl w:val="0"/>
                <w:numId w:val="29"/>
              </w:numPr>
              <w:spacing w:after="143" w:line="276" w:lineRule="auto"/>
            </w:pPr>
            <w:r>
              <w:rPr>
                <w:rFonts w:ascii="Arial" w:eastAsia="Arial" w:hAnsi="Arial" w:cs="Arial"/>
              </w:rPr>
              <w:t xml:space="preserve">posiadania  przez wykonawcę odpowiedniego ubezpieczenia odpowiedzialności cywilnej. </w:t>
            </w:r>
          </w:p>
          <w:p w:rsidR="00025B8E" w:rsidRDefault="00C13F2C">
            <w:pPr>
              <w:ind w:left="1"/>
            </w:pPr>
            <w:r>
              <w:rPr>
                <w:rFonts w:ascii="Arial" w:eastAsia="Arial" w:hAnsi="Arial" w:cs="Arial"/>
              </w:rPr>
              <w:t xml:space="preserve">Wykonawca powinien przedstawić informacje wymagane w tej sekcji jedynie w przypadku gdy instytucja zamawiająca lub podmiot zamawiający określił takie warunki udziału w </w:t>
            </w:r>
          </w:p>
        </w:tc>
      </w:tr>
      <w:tr w:rsidR="00025B8E">
        <w:trPr>
          <w:trHeight w:val="3648"/>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pPr>
            <w:r>
              <w:t>1a) Jego („ogólny”) roczny obrót w ciągu określonej liczby lat obrotowych wymaganej w stosownym ogłoszeniu lub dokumentach zamówienia jest następujący</w:t>
            </w:r>
            <w:r>
              <w:rPr>
                <w:b/>
              </w:rPr>
              <w:t xml:space="preserve">: </w:t>
            </w:r>
          </w:p>
          <w:p w:rsidR="00025B8E" w:rsidRDefault="00C13F2C">
            <w:r>
              <w:rPr>
                <w:b/>
              </w:rPr>
              <w:t>i/lub</w:t>
            </w:r>
            <w:r>
              <w:t xml:space="preserve"> </w:t>
            </w:r>
          </w:p>
          <w:p w:rsidR="00025B8E" w:rsidRDefault="00C13F2C">
            <w:pPr>
              <w:ind w:right="1"/>
            </w:pPr>
            <w:r>
              <w:t xml:space="preserve">1b) Jego średni roczny obrót w ciągu określonej liczby lat wymaganej w stosownym ogłoszeniu lub dokumentach zamówienia jest następujący </w:t>
            </w:r>
          </w:p>
          <w:p w:rsidR="00025B8E" w:rsidRDefault="00C13F2C">
            <w:pPr>
              <w:spacing w:after="49"/>
            </w:pPr>
            <w:r>
              <w:t>(</w:t>
            </w:r>
            <w:r>
              <w:rPr>
                <w:rFonts w:ascii="Arial" w:eastAsia="Arial" w:hAnsi="Arial" w:cs="Arial"/>
                <w:b/>
                <w:sz w:val="20"/>
                <w:vertAlign w:val="superscript"/>
              </w:rPr>
              <w:footnoteReference w:id="27"/>
            </w:r>
            <w:r>
              <w:t>)</w:t>
            </w:r>
            <w:r>
              <w:rPr>
                <w:b/>
              </w:rPr>
              <w:t xml:space="preserve">: </w:t>
            </w:r>
          </w:p>
          <w:p w:rsidR="00025B8E" w:rsidRDefault="00C13F2C">
            <w:r>
              <w:t xml:space="preserve">Jeżeli odnośna dokumentacja jest dostępna w formie elektronicznej, proszę wskazać: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ind w:left="1" w:right="1139"/>
            </w:pPr>
            <w:r>
              <w:t xml:space="preserve">rok: [……] obrót: [……] […] waluta rok: [……] obrót: [……] […] waluta rok: [……] obrót: [……] […] waluta </w:t>
            </w:r>
          </w:p>
          <w:p w:rsidR="00025B8E" w:rsidRDefault="00C13F2C">
            <w:pPr>
              <w:ind w:left="1"/>
            </w:pPr>
            <w:r>
              <w:t xml:space="preserve"> </w:t>
            </w:r>
          </w:p>
          <w:p w:rsidR="00025B8E" w:rsidRDefault="00C13F2C">
            <w:pPr>
              <w:ind w:left="1"/>
            </w:pPr>
            <w:r>
              <w:t xml:space="preserve"> </w:t>
            </w:r>
          </w:p>
          <w:p w:rsidR="00025B8E" w:rsidRDefault="00C13F2C">
            <w:pPr>
              <w:ind w:left="1"/>
            </w:pPr>
            <w:r>
              <w:t>(liczba lat, średni obrót)</w:t>
            </w:r>
            <w:r>
              <w:rPr>
                <w:b/>
              </w:rPr>
              <w:t>:</w:t>
            </w:r>
            <w:r>
              <w:t xml:space="preserve"> [……], [……] […] waluta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(adres internetowy, wydający urząd lub organ, dokładne dane referencyjne dokumentacji): </w:t>
            </w:r>
          </w:p>
          <w:p w:rsidR="00025B8E" w:rsidRDefault="00C13F2C">
            <w:pPr>
              <w:ind w:left="1"/>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204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line="258" w:lineRule="auto"/>
              <w:ind w:right="17"/>
            </w:pPr>
            <w:r>
              <w:t xml:space="preserve">2a) Jego roczny („specyficzny”) </w:t>
            </w:r>
            <w:r>
              <w:rPr>
                <w:b/>
              </w:rPr>
              <w:t>obrót w obszarze działalności gospodarczej objętym zamówieniem</w:t>
            </w:r>
            <w:r>
              <w:t xml:space="preserve"> i określonym w stosownym ogłoszeniu lub dokumentach zamówienia w ciągu wymaganej liczby lat obrotowych jest następujący: </w:t>
            </w:r>
          </w:p>
          <w:p w:rsidR="00025B8E" w:rsidRDefault="00C13F2C">
            <w:r>
              <w:rPr>
                <w:b/>
              </w:rPr>
              <w:t xml:space="preserve">i/lub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after="1"/>
              <w:ind w:left="1" w:right="1139"/>
            </w:pPr>
            <w:r>
              <w:t xml:space="preserve">rok: [……] obrót: [……] […] waluta rok: [……] obrót: [……] […] waluta rok: [……] obrót: [……] […] waluta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66"/>
      </w:pPr>
    </w:p>
    <w:tbl>
      <w:tblPr>
        <w:tblStyle w:val="TableGrid"/>
        <w:tblW w:w="13937" w:type="dxa"/>
        <w:tblInd w:w="17" w:type="dxa"/>
        <w:tblCellMar>
          <w:top w:w="46" w:type="dxa"/>
          <w:left w:w="106" w:type="dxa"/>
          <w:right w:w="53" w:type="dxa"/>
        </w:tblCellMar>
        <w:tblLook w:val="04A0" w:firstRow="1" w:lastRow="0" w:firstColumn="1" w:lastColumn="0" w:noHBand="0" w:noVBand="1"/>
      </w:tblPr>
      <w:tblGrid>
        <w:gridCol w:w="4645"/>
        <w:gridCol w:w="4647"/>
        <w:gridCol w:w="4645"/>
      </w:tblGrid>
      <w:tr w:rsidR="00025B8E">
        <w:trPr>
          <w:trHeight w:val="190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2b) Jego </w:t>
            </w:r>
            <w:r>
              <w:rPr>
                <w:b/>
              </w:rPr>
              <w:t>średni</w:t>
            </w:r>
            <w:r>
              <w:t xml:space="preserve"> roczny </w:t>
            </w:r>
            <w:r>
              <w:rPr>
                <w:b/>
              </w:rPr>
              <w:t xml:space="preserve">obrót w przedmiotowym </w:t>
            </w:r>
          </w:p>
          <w:p w:rsidR="00025B8E" w:rsidRDefault="00C13F2C">
            <w:pPr>
              <w:ind w:left="2"/>
            </w:pPr>
            <w:r>
              <w:rPr>
                <w:b/>
              </w:rPr>
              <w:t xml:space="preserve">obszarze i w ciągu określonej liczby lat wymaganej w stosownym ogłoszeniu lub dokumentach zamówienia jest następujący </w:t>
            </w:r>
            <w:r>
              <w:t>(</w:t>
            </w:r>
            <w:r>
              <w:rPr>
                <w:rFonts w:ascii="Arial" w:eastAsia="Arial" w:hAnsi="Arial" w:cs="Arial"/>
                <w:b/>
                <w:sz w:val="20"/>
                <w:vertAlign w:val="superscript"/>
              </w:rPr>
              <w:footnoteReference w:id="28"/>
            </w:r>
            <w:r>
              <w:t>)</w:t>
            </w:r>
            <w:r>
              <w:rPr>
                <w:b/>
              </w:rPr>
              <w:t xml:space="preserve">: </w:t>
            </w:r>
            <w:r>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(liczba lat, średni obrót)</w:t>
            </w:r>
            <w:r>
              <w:rPr>
                <w:b/>
              </w:rPr>
              <w:t>:</w:t>
            </w:r>
            <w:r>
              <w:t xml:space="preserve"> [……], [……] […] waluta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after="122" w:line="293" w:lineRule="auto"/>
            </w:pPr>
            <w:r>
              <w:rPr>
                <w:rFonts w:ascii="Arial" w:eastAsia="Arial" w:hAnsi="Arial" w:cs="Arial"/>
              </w:rPr>
              <w:t xml:space="preserve">postępowaniu w ogłoszeniu lub w dokumentach zamówienia, o których mowa w ogłoszeniu. </w:t>
            </w:r>
          </w:p>
          <w:p w:rsidR="00025B8E" w:rsidRDefault="00C13F2C">
            <w:pPr>
              <w:ind w:right="24"/>
            </w:pPr>
            <w:r>
              <w:rPr>
                <w:rFonts w:ascii="Arial" w:eastAsia="Arial" w:hAnsi="Arial" w:cs="Arial"/>
              </w:rPr>
              <w:t xml:space="preserve">Przywołany art. 22c ust. 1 ustawy Pzp wskazuje na otwarty katalog okoliczności, które zamawiający może poddać ocenie w ramach warunków udziału  w postępowaniu (kryteriów kwalifikacji). Jeżeli zamawiający przewidzi w tym zakresie inny sposób oceny warunków dotyczących sytuacji ekonomicznej lub finansowej wykonawcy (np. zdolność kredytowa, posiadane środki finansowe) wykonawca w tym miejscu formularza powinien się do nich odnieść </w:t>
            </w:r>
          </w:p>
        </w:tc>
      </w:tr>
      <w:tr w:rsidR="00025B8E">
        <w:trPr>
          <w:trHeight w:val="162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3) W przypadku gdy informacje dotyczące obrotu (ogólnego lub specyficznego) nie są dostępne za cały wymagany okres, proszę podać datę założenia przedsiębiorstwa wykonawcy lub rozpoczęcia działalności przez wykonawcę: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2777"/>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9" w:line="264" w:lineRule="auto"/>
              <w:ind w:left="2"/>
            </w:pPr>
            <w:r>
              <w:t xml:space="preserve">4) W odniesieniu do </w:t>
            </w:r>
            <w:r>
              <w:rPr>
                <w:b/>
              </w:rPr>
              <w:t>wskaźników finansowych</w:t>
            </w:r>
            <w:r>
              <w:t xml:space="preserve"> (</w:t>
            </w:r>
            <w:r>
              <w:rPr>
                <w:rFonts w:ascii="Arial" w:eastAsia="Arial" w:hAnsi="Arial" w:cs="Arial"/>
                <w:b/>
                <w:sz w:val="20"/>
                <w:vertAlign w:val="superscript"/>
              </w:rPr>
              <w:footnoteReference w:id="29"/>
            </w:r>
            <w:r>
              <w:t xml:space="preserve">) określonych w stosownym ogłoszeniu lub </w:t>
            </w:r>
          </w:p>
          <w:p w:rsidR="00025B8E" w:rsidRDefault="00C13F2C">
            <w:pPr>
              <w:ind w:left="2" w:right="3"/>
            </w:pPr>
            <w:r>
              <w:t xml:space="preserve">dokumentach zamówienia wykonawca oświadcza, że aktualna(-e) wartość(-ci) wymaganego(-ych) wskaźnika(-ów) jest (są) następująca(-e): </w:t>
            </w:r>
          </w:p>
          <w:p w:rsidR="00025B8E" w:rsidRDefault="00C13F2C">
            <w:pPr>
              <w:ind w:left="2"/>
            </w:pPr>
            <w:r>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8" w:line="263" w:lineRule="auto"/>
              <w:ind w:left="2"/>
              <w:jc w:val="both"/>
            </w:pPr>
            <w:r>
              <w:t>(określenie wymaganego wskaźnika – stosunek X do Y (</w:t>
            </w:r>
            <w:r>
              <w:rPr>
                <w:rFonts w:ascii="Arial" w:eastAsia="Arial" w:hAnsi="Arial" w:cs="Arial"/>
                <w:sz w:val="20"/>
                <w:vertAlign w:val="superscript"/>
              </w:rPr>
              <w:footnoteReference w:id="30"/>
            </w:r>
            <w:r>
              <w:t xml:space="preserve">) – oraz wartość): </w:t>
            </w:r>
          </w:p>
          <w:p w:rsidR="00025B8E" w:rsidRDefault="00C13F2C">
            <w:pPr>
              <w:spacing w:after="17"/>
              <w:ind w:left="2"/>
            </w:pPr>
            <w:r>
              <w:t>[……], [……] (</w:t>
            </w:r>
            <w:r>
              <w:rPr>
                <w:rFonts w:ascii="Arial" w:eastAsia="Arial" w:hAnsi="Arial" w:cs="Arial"/>
                <w:sz w:val="20"/>
                <w:vertAlign w:val="superscript"/>
              </w:rPr>
              <w:footnoteReference w:id="31"/>
            </w:r>
            <w:r>
              <w:t xml:space="preserve">) </w:t>
            </w:r>
          </w:p>
          <w:p w:rsidR="00025B8E" w:rsidRDefault="00C13F2C">
            <w:pPr>
              <w:ind w:left="2"/>
            </w:pPr>
            <w:r>
              <w:rPr>
                <w:i/>
              </w:rPr>
              <w:t xml:space="preserve"> </w:t>
            </w:r>
          </w:p>
          <w:p w:rsidR="00025B8E" w:rsidRDefault="00C13F2C">
            <w:pPr>
              <w:ind w:left="2"/>
            </w:pPr>
            <w:r>
              <w:t xml:space="preserve"> </w:t>
            </w:r>
          </w:p>
          <w:p w:rsidR="00025B8E" w:rsidRDefault="00C13F2C">
            <w:pPr>
              <w:ind w:left="2"/>
            </w:pPr>
            <w:r>
              <w:t xml:space="preserve"> </w:t>
            </w:r>
          </w:p>
          <w:p w:rsidR="00025B8E" w:rsidRDefault="00C13F2C">
            <w:pPr>
              <w:spacing w:after="2" w:line="256" w:lineRule="auto"/>
              <w:ind w:left="2"/>
            </w:pPr>
            <w:r>
              <w:t xml:space="preserve">(adres internetowy, wydający urząd lub organ, dokładne dane referencyjne dokumentacji): </w:t>
            </w:r>
          </w:p>
          <w:p w:rsidR="00025B8E" w:rsidRDefault="00C13F2C">
            <w:pPr>
              <w:ind w:left="2"/>
            </w:pPr>
            <w:r>
              <w:t xml:space="preserve">[……][……][……] </w:t>
            </w:r>
          </w:p>
        </w:tc>
        <w:tc>
          <w:tcPr>
            <w:tcW w:w="0" w:type="auto"/>
            <w:vMerge/>
            <w:tcBorders>
              <w:top w:val="nil"/>
              <w:left w:val="single" w:sz="4" w:space="0" w:color="000000"/>
              <w:bottom w:val="nil"/>
              <w:right w:val="single" w:sz="4" w:space="0" w:color="000000"/>
            </w:tcBorders>
          </w:tcPr>
          <w:p w:rsidR="00025B8E" w:rsidRDefault="00025B8E"/>
        </w:tc>
      </w:tr>
      <w:tr w:rsidR="00025B8E">
        <w:trPr>
          <w:trHeight w:val="162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ind w:left="2"/>
            </w:pPr>
            <w:r>
              <w:lastRenderedPageBreak/>
              <w:t xml:space="preserve">5) W ramach </w:t>
            </w:r>
            <w:r>
              <w:rPr>
                <w:b/>
              </w:rPr>
              <w:t>ubezpieczenia z tytułu ryzyka zawodowego</w:t>
            </w:r>
            <w:r>
              <w:t xml:space="preserve"> wykonawca jest ubezpieczony na następującą kwotę: </w:t>
            </w:r>
          </w:p>
          <w:p w:rsidR="00025B8E" w:rsidRDefault="00C13F2C">
            <w:pPr>
              <w:ind w:left="2"/>
              <w:jc w:val="both"/>
            </w:pPr>
            <w:r>
              <w:t xml:space="preserve">Jeżeli te informacje są dostępne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 waluta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(adres internetowy, wydający urząd lub organ,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749"/>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C13F2C">
            <w:r>
              <w:t xml:space="preserve">dokładne dane referencyjne dokumentacji): [……][……][……]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2780"/>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pPr>
            <w:r>
              <w:t xml:space="preserve">6) W odniesieniu do </w:t>
            </w:r>
            <w:r>
              <w:rPr>
                <w:b/>
              </w:rPr>
              <w:t>innych ewentualnych wymogów ekonomicznych lub finansowych</w:t>
            </w:r>
            <w:r>
              <w:t xml:space="preserve">, które mogły zostać określone w stosownym ogłoszeniu lub dokumentach zamówienia, wykonawca oświadcza, że </w:t>
            </w:r>
          </w:p>
          <w:p w:rsidR="00025B8E" w:rsidRDefault="00C13F2C">
            <w:r>
              <w:t xml:space="preserve">Jeżeli odnośna dokumentacja, która </w:t>
            </w:r>
            <w:r>
              <w:rPr>
                <w:b/>
              </w:rPr>
              <w:t>mogła</w:t>
            </w:r>
            <w:r>
              <w:rPr>
                <w:i/>
              </w:rPr>
              <w:t xml:space="preserve"> </w:t>
            </w:r>
            <w:r>
              <w:t xml:space="preserve">zostać określona w stosownym ogłoszeniu lub w dokumentach zamówienia,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p w:rsidR="00025B8E" w:rsidRDefault="00C13F2C">
            <w:r>
              <w:t xml:space="preserve"> </w:t>
            </w:r>
          </w:p>
          <w:p w:rsidR="00025B8E" w:rsidRDefault="00C13F2C">
            <w:r>
              <w:t xml:space="preserve"> </w:t>
            </w:r>
          </w:p>
          <w:p w:rsidR="00025B8E" w:rsidRDefault="00C13F2C">
            <w:r>
              <w:t xml:space="preserve"> </w:t>
            </w:r>
          </w:p>
          <w:p w:rsidR="00025B8E" w:rsidRDefault="00C13F2C">
            <w:r>
              <w:t xml:space="preserve"> </w:t>
            </w:r>
          </w:p>
          <w:p w:rsidR="00025B8E" w:rsidRDefault="00C13F2C">
            <w:r>
              <w:t>(adres internetowy, wydający urząd lub organ,</w:t>
            </w:r>
            <w:r>
              <w:rPr>
                <w:i/>
              </w:rPr>
              <w:t xml:space="preserve"> </w:t>
            </w:r>
            <w:r>
              <w:t xml:space="preserve">dokładne dane referencyjne dokumentacji): </w:t>
            </w:r>
          </w:p>
          <w:p w:rsidR="00025B8E" w:rsidRDefault="00C13F2C">
            <w: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bl>
    <w:p w:rsidR="00025B8E" w:rsidRDefault="00C13F2C">
      <w:pPr>
        <w:spacing w:after="390"/>
        <w:ind w:left="64"/>
        <w:jc w:val="center"/>
      </w:pPr>
      <w:r>
        <w:rPr>
          <w:rFonts w:ascii="Times New Roman" w:eastAsia="Times New Roman" w:hAnsi="Times New Roman" w:cs="Times New Roman"/>
          <w:b/>
        </w:rPr>
        <w:t xml:space="preserve"> </w:t>
      </w:r>
    </w:p>
    <w:p w:rsidR="00025B8E" w:rsidRDefault="00C13F2C">
      <w:pPr>
        <w:pStyle w:val="Nagwek1"/>
        <w:ind w:left="5077"/>
      </w:pPr>
      <w:r>
        <w:rPr>
          <w:sz w:val="22"/>
        </w:rPr>
        <w:t>C:</w:t>
      </w:r>
      <w:r>
        <w:t xml:space="preserve"> </w:t>
      </w:r>
      <w:r>
        <w:rPr>
          <w:sz w:val="22"/>
        </w:rPr>
        <w:t>Z</w:t>
      </w:r>
      <w:r>
        <w:t>DOLNOŚĆ TECHNICZNA I ZAWODOWA</w:t>
      </w:r>
      <w:r>
        <w:rPr>
          <w:sz w:val="22"/>
        </w:rPr>
        <w:t xml:space="preserve"> </w:t>
      </w:r>
    </w:p>
    <w:tbl>
      <w:tblPr>
        <w:tblStyle w:val="TableGrid"/>
        <w:tblW w:w="13936" w:type="dxa"/>
        <w:tblInd w:w="18" w:type="dxa"/>
        <w:tblCellMar>
          <w:top w:w="8" w:type="dxa"/>
          <w:left w:w="106" w:type="dxa"/>
          <w:right w:w="56" w:type="dxa"/>
        </w:tblCellMar>
        <w:tblLook w:val="04A0" w:firstRow="1" w:lastRow="0" w:firstColumn="1" w:lastColumn="0" w:noHBand="0" w:noVBand="1"/>
      </w:tblPr>
      <w:tblGrid>
        <w:gridCol w:w="4645"/>
        <w:gridCol w:w="4644"/>
        <w:gridCol w:w="4647"/>
      </w:tblGrid>
      <w:tr w:rsidR="00025B8E">
        <w:trPr>
          <w:trHeight w:val="1037"/>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47"/>
              <w:jc w:val="both"/>
            </w:pPr>
            <w:r>
              <w:rPr>
                <w:b/>
              </w:rPr>
              <w:t xml:space="preserve">Wykonawca powinien przedstawić informacje jedynie w przypadku gdy instytucja zamawiająca lub podmiot zamawiający wymagają danych kryteriów kwalifikacji w stosownym ogłoszeniu lub w dokumentach zamówienia, o których mowa w ogłoszeniu.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460"/>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Zdolność techniczna i zawodowa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204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after="5" w:line="256" w:lineRule="auto"/>
            </w:pPr>
            <w:r>
              <w:lastRenderedPageBreak/>
              <w:t xml:space="preserve">1a) Jedynie w odniesieniu do </w:t>
            </w:r>
            <w:r>
              <w:rPr>
                <w:b/>
              </w:rPr>
              <w:t>zamówień publicznych na roboty budowlane</w:t>
            </w:r>
            <w:r>
              <w:t xml:space="preserve">: </w:t>
            </w:r>
          </w:p>
          <w:p w:rsidR="00025B8E" w:rsidRDefault="00C13F2C">
            <w:pPr>
              <w:spacing w:line="264" w:lineRule="auto"/>
            </w:pPr>
            <w:r>
              <w:t>W okresie odniesienia (</w:t>
            </w:r>
            <w:r>
              <w:rPr>
                <w:rFonts w:ascii="Arial" w:eastAsia="Arial" w:hAnsi="Arial" w:cs="Arial"/>
                <w:sz w:val="20"/>
                <w:vertAlign w:val="superscript"/>
              </w:rPr>
              <w:footnoteReference w:id="32"/>
            </w:r>
            <w:r>
              <w:t xml:space="preserve">) wykonawca </w:t>
            </w:r>
            <w:r>
              <w:rPr>
                <w:b/>
              </w:rPr>
              <w:t>wykonał następujące roboty budowlane określonego rodzaju</w:t>
            </w:r>
            <w:r>
              <w:t xml:space="preserve">:  </w:t>
            </w:r>
          </w:p>
          <w:p w:rsidR="00025B8E" w:rsidRDefault="00C13F2C">
            <w:r>
              <w:t xml:space="preserve">Jeżeli odnośna dokumentacja dotycząca zadowalającego wykonania i rezultatu w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spacing w:after="2" w:line="256" w:lineRule="auto"/>
              <w:ind w:left="1"/>
            </w:pPr>
            <w:r>
              <w:t xml:space="preserve">Liczba lat (okres ten został wskazany w stosownym ogłoszeniu lub dokumentach </w:t>
            </w:r>
          </w:p>
          <w:p w:rsidR="00025B8E" w:rsidRDefault="00C13F2C">
            <w:pPr>
              <w:ind w:left="1"/>
            </w:pPr>
            <w:r>
              <w:t xml:space="preserve">zamówienia): […] </w:t>
            </w:r>
          </w:p>
          <w:p w:rsidR="00025B8E" w:rsidRDefault="00C13F2C">
            <w:pPr>
              <w:ind w:left="1"/>
            </w:pPr>
            <w:r>
              <w:t xml:space="preserve">Roboty budowlane: [……] </w:t>
            </w:r>
          </w:p>
          <w:p w:rsidR="00025B8E" w:rsidRDefault="00C13F2C">
            <w:pPr>
              <w:ind w:left="1"/>
            </w:pPr>
            <w:r>
              <w:t xml:space="preserve"> </w:t>
            </w:r>
          </w:p>
          <w:p w:rsidR="00025B8E" w:rsidRDefault="00C13F2C">
            <w:pPr>
              <w:ind w:left="1"/>
            </w:pPr>
            <w:r>
              <w:t xml:space="preserve">(adres internetowy, wydający urząd lub organ,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Wykonawca powinien przedstawić informacje wymagane w tej sekcji jedynie w przypadku gdy zamawiający określa dane warunki udziału w postępowaniu w stosownym ogłoszeniu lub w dokumentach zamówienia (specyfikacja). </w:t>
            </w:r>
          </w:p>
        </w:tc>
      </w:tr>
      <w:tr w:rsidR="00025B8E">
        <w:trPr>
          <w:trHeight w:val="7333"/>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odniesieniu do najważniejszych robót budowlanych jest dostępna w formie elektronicznej, proszę wskazać: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dokładne dane referencyjne dokumentacji): [……][……][……]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159" w:line="271" w:lineRule="auto"/>
              <w:ind w:right="46"/>
            </w:pPr>
            <w:r>
              <w:rPr>
                <w:rFonts w:ascii="Arial" w:eastAsia="Arial" w:hAnsi="Arial" w:cs="Arial"/>
              </w:rPr>
              <w:t xml:space="preserve">Na podstawie art. 22d ust. 1ustawy Pzp, oceniając zdolność techniczną lub zawodową wykonawcy, zamawiający może postawić minimalne warunki dotyczące wykształcenia, kwalifikacji zawodowych, doświadczenia, potencjału technicznego wykonawcy lub osób skierowanych przez wykonawcę do realizacji zamówienia, umożliwiające realizację zamówienia na odpowiednim poziomie jakości. </w:t>
            </w:r>
          </w:p>
          <w:p w:rsidR="00025B8E" w:rsidRDefault="00C13F2C">
            <w:pPr>
              <w:spacing w:after="164" w:line="274" w:lineRule="auto"/>
            </w:pPr>
            <w:r>
              <w:rPr>
                <w:rFonts w:ascii="Arial" w:eastAsia="Arial" w:hAnsi="Arial" w:cs="Arial"/>
              </w:rPr>
              <w:t>Zgodnie z rozporządzeniem w sprawie dokumentów</w:t>
            </w:r>
            <w:r>
              <w:rPr>
                <w:rFonts w:ascii="Segoe UI Symbol" w:eastAsia="Segoe UI Symbol" w:hAnsi="Segoe UI Symbol" w:cs="Segoe UI Symbol"/>
                <w:vertAlign w:val="superscript"/>
              </w:rPr>
              <w:t></w:t>
            </w:r>
            <w:r>
              <w:rPr>
                <w:rFonts w:ascii="Arial" w:eastAsia="Arial" w:hAnsi="Arial" w:cs="Arial"/>
              </w:rPr>
              <w:t xml:space="preserve"> zamawiający wymaga, aby okres, z którego dopuszczalne jest wykazywanie się zrealizowanymi robotami budowlanymi wynosił do pięciu lat wstecz. W wyjątkowych sytuacjach zamawiający może dopuścić wymagane doświadczenie sprzed pięciu lat. </w:t>
            </w:r>
          </w:p>
          <w:p w:rsidR="00025B8E" w:rsidRDefault="00C13F2C">
            <w:r>
              <w:rPr>
                <w:rFonts w:ascii="Arial" w:eastAsia="Arial" w:hAnsi="Arial" w:cs="Arial"/>
              </w:rPr>
              <w:t xml:space="preserve">Formularz w tej rubryce nie określa przykładowo: kwot robót budowlanych, dat, odbiorców na rzecz których roboty zostały wykonane. Jeśli zamawiający w tym zakresie określi szczególne wymogi wykonawca powinien te informacje zawrzeć w tym miejscu formularza. </w:t>
            </w:r>
          </w:p>
        </w:tc>
      </w:tr>
    </w:tbl>
    <w:p w:rsidR="00025B8E" w:rsidRDefault="00C13F2C">
      <w:pPr>
        <w:spacing w:after="0"/>
        <w:ind w:left="12"/>
      </w:pPr>
      <w:r>
        <w:rPr>
          <w:strike/>
        </w:rPr>
        <w:t xml:space="preserve">                                                         </w:t>
      </w:r>
      <w:r>
        <w:t xml:space="preserve"> </w:t>
      </w:r>
    </w:p>
    <w:p w:rsidR="00025B8E" w:rsidRDefault="00C13F2C">
      <w:pPr>
        <w:spacing w:after="5" w:line="253" w:lineRule="auto"/>
        <w:ind w:left="76" w:right="172" w:hanging="79"/>
        <w:jc w:val="both"/>
      </w:pPr>
      <w:r>
        <w:rPr>
          <w:rFonts w:ascii="Segoe UI Symbol" w:eastAsia="Segoe UI Symbol" w:hAnsi="Segoe UI Symbol" w:cs="Segoe UI Symbol"/>
          <w:sz w:val="13"/>
        </w:rPr>
        <w:t xml:space="preserve"> </w:t>
      </w:r>
      <w:r>
        <w:rPr>
          <w:sz w:val="16"/>
        </w:rPr>
        <w:t xml:space="preserve">  </w:t>
      </w:r>
      <w:r>
        <w:rPr>
          <w:sz w:val="16"/>
        </w:rPr>
        <w:tab/>
        <w:t xml:space="preserve">Rozporządzenie Ministra Rozwoju z dnia 26 lipca 2016 r. w sprawie rodzajów dokumentów, jakich może żądać zamawiający od wykonawcy w postępowaniu o udzielenie zamówienia publicznego (Dz. U. z </w:t>
      </w:r>
    </w:p>
    <w:p w:rsidR="00025B8E" w:rsidRDefault="00C13F2C">
      <w:pPr>
        <w:spacing w:after="5" w:line="253" w:lineRule="auto"/>
        <w:ind w:left="7" w:hanging="10"/>
        <w:jc w:val="both"/>
      </w:pPr>
      <w:r>
        <w:rPr>
          <w:sz w:val="16"/>
        </w:rPr>
        <w:t xml:space="preserve">2016 r., poz. 1126)  </w:t>
      </w:r>
    </w:p>
    <w:p w:rsidR="00025B8E" w:rsidRDefault="00025B8E">
      <w:pPr>
        <w:spacing w:after="0"/>
        <w:ind w:left="-1406" w:right="66"/>
      </w:pPr>
    </w:p>
    <w:tbl>
      <w:tblPr>
        <w:tblStyle w:val="TableGrid"/>
        <w:tblW w:w="13937" w:type="dxa"/>
        <w:tblInd w:w="17" w:type="dxa"/>
        <w:tblCellMar>
          <w:top w:w="23" w:type="dxa"/>
          <w:left w:w="106" w:type="dxa"/>
          <w:right w:w="51" w:type="dxa"/>
        </w:tblCellMar>
        <w:tblLook w:val="04A0" w:firstRow="1" w:lastRow="0" w:firstColumn="1" w:lastColumn="0" w:noHBand="0" w:noVBand="1"/>
      </w:tblPr>
      <w:tblGrid>
        <w:gridCol w:w="4645"/>
        <w:gridCol w:w="4647"/>
        <w:gridCol w:w="4645"/>
      </w:tblGrid>
      <w:tr w:rsidR="00025B8E">
        <w:trPr>
          <w:trHeight w:val="485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1b) Jedynie w odniesieniu do </w:t>
            </w:r>
            <w:r>
              <w:rPr>
                <w:b/>
              </w:rPr>
              <w:t xml:space="preserve">zamówień publicznych na dostawy i zamówień publicznych na usługi </w:t>
            </w:r>
            <w:r>
              <w:t xml:space="preserve"> </w:t>
            </w:r>
          </w:p>
          <w:p w:rsidR="00025B8E" w:rsidRDefault="00C13F2C">
            <w:pPr>
              <w:ind w:left="2" w:right="8"/>
            </w:pPr>
            <w:r>
              <w:t>W okresie odniesienia (</w:t>
            </w:r>
            <w:r>
              <w:rPr>
                <w:rFonts w:ascii="Arial" w:eastAsia="Arial" w:hAnsi="Arial" w:cs="Arial"/>
                <w:sz w:val="20"/>
                <w:vertAlign w:val="superscript"/>
              </w:rPr>
              <w:footnoteReference w:id="33"/>
            </w:r>
            <w:r>
              <w:t xml:space="preserve">) wykonawca </w:t>
            </w:r>
            <w:r>
              <w:rPr>
                <w:b/>
              </w:rPr>
              <w:t>zrealizował następujące główne dostawy określonego rodzaju lub wyświadczył następujące główne usługi określonego rodzaju</w:t>
            </w:r>
            <w:r>
              <w:t>:</w:t>
            </w:r>
            <w:r>
              <w:rPr>
                <w:b/>
              </w:rPr>
              <w:t xml:space="preserve"> </w:t>
            </w:r>
            <w:r>
              <w:t>Przy sporządzaniu wykazu proszę podać kwoty, daty i odbiorców, zarówno publicznych, jak i prywatnych (</w:t>
            </w:r>
            <w:r>
              <w:rPr>
                <w:rFonts w:ascii="Arial" w:eastAsia="Arial" w:hAnsi="Arial" w:cs="Arial"/>
                <w:sz w:val="20"/>
                <w:vertAlign w:val="superscript"/>
              </w:rPr>
              <w:footnoteReference w:id="34"/>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Liczba lat (okres ten został wskazany w stosownym ogłoszeniu lub dokumentach zamówienia): […] </w:t>
            </w:r>
          </w:p>
          <w:tbl>
            <w:tblPr>
              <w:tblStyle w:val="TableGrid"/>
              <w:tblW w:w="4145" w:type="dxa"/>
              <w:tblInd w:w="7" w:type="dxa"/>
              <w:tblCellMar>
                <w:top w:w="46" w:type="dxa"/>
                <w:left w:w="108" w:type="dxa"/>
                <w:right w:w="115" w:type="dxa"/>
              </w:tblCellMar>
              <w:tblLook w:val="04A0" w:firstRow="1" w:lastRow="0" w:firstColumn="1" w:lastColumn="0" w:noHBand="0" w:noVBand="1"/>
            </w:tblPr>
            <w:tblGrid>
              <w:gridCol w:w="1337"/>
              <w:gridCol w:w="936"/>
              <w:gridCol w:w="722"/>
              <w:gridCol w:w="1150"/>
            </w:tblGrid>
            <w:tr w:rsidR="00025B8E">
              <w:trPr>
                <w:trHeight w:val="461"/>
              </w:trPr>
              <w:tc>
                <w:tcPr>
                  <w:tcW w:w="1337" w:type="dxa"/>
                  <w:tcBorders>
                    <w:top w:val="single" w:sz="4" w:space="0" w:color="000000"/>
                    <w:left w:val="single" w:sz="4" w:space="0" w:color="000000"/>
                    <w:bottom w:val="single" w:sz="4" w:space="0" w:color="000000"/>
                    <w:right w:val="single" w:sz="4" w:space="0" w:color="000000"/>
                  </w:tcBorders>
                </w:tcPr>
                <w:p w:rsidR="00025B8E" w:rsidRDefault="00C13F2C">
                  <w:r>
                    <w:t xml:space="preserve">Opis </w:t>
                  </w:r>
                </w:p>
              </w:tc>
              <w:tc>
                <w:tcPr>
                  <w:tcW w:w="936" w:type="dxa"/>
                  <w:tcBorders>
                    <w:top w:val="single" w:sz="4" w:space="0" w:color="000000"/>
                    <w:left w:val="single" w:sz="4" w:space="0" w:color="000000"/>
                    <w:bottom w:val="single" w:sz="4" w:space="0" w:color="000000"/>
                    <w:right w:val="single" w:sz="4" w:space="0" w:color="000000"/>
                  </w:tcBorders>
                </w:tcPr>
                <w:p w:rsidR="00025B8E" w:rsidRDefault="00C13F2C">
                  <w:r>
                    <w:t xml:space="preserve">Kwoty </w:t>
                  </w:r>
                </w:p>
              </w:tc>
              <w:tc>
                <w:tcPr>
                  <w:tcW w:w="722" w:type="dxa"/>
                  <w:tcBorders>
                    <w:top w:val="single" w:sz="4" w:space="0" w:color="000000"/>
                    <w:left w:val="single" w:sz="4" w:space="0" w:color="000000"/>
                    <w:bottom w:val="single" w:sz="4" w:space="0" w:color="000000"/>
                    <w:right w:val="single" w:sz="4" w:space="0" w:color="000000"/>
                  </w:tcBorders>
                </w:tcPr>
                <w:p w:rsidR="00025B8E" w:rsidRDefault="00C13F2C">
                  <w:r>
                    <w:t xml:space="preserve">Daty </w:t>
                  </w:r>
                </w:p>
              </w:tc>
              <w:tc>
                <w:tcPr>
                  <w:tcW w:w="1150" w:type="dxa"/>
                  <w:tcBorders>
                    <w:top w:val="single" w:sz="4" w:space="0" w:color="000000"/>
                    <w:left w:val="single" w:sz="4" w:space="0" w:color="000000"/>
                    <w:bottom w:val="single" w:sz="4" w:space="0" w:color="000000"/>
                    <w:right w:val="single" w:sz="4" w:space="0" w:color="000000"/>
                  </w:tcBorders>
                </w:tcPr>
                <w:p w:rsidR="00025B8E" w:rsidRDefault="00C13F2C">
                  <w:r>
                    <w:t xml:space="preserve">Odbiorcy </w:t>
                  </w:r>
                </w:p>
              </w:tc>
            </w:tr>
            <w:tr w:rsidR="00025B8E">
              <w:trPr>
                <w:trHeight w:val="458"/>
              </w:trPr>
              <w:tc>
                <w:tcPr>
                  <w:tcW w:w="1337"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tc>
              <w:tc>
                <w:tcPr>
                  <w:tcW w:w="936"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tc>
              <w:tc>
                <w:tcPr>
                  <w:tcW w:w="722"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tc>
              <w:tc>
                <w:tcPr>
                  <w:tcW w:w="1150" w:type="dxa"/>
                  <w:tcBorders>
                    <w:top w:val="single" w:sz="4" w:space="0" w:color="000000"/>
                    <w:left w:val="single" w:sz="4" w:space="0" w:color="000000"/>
                    <w:bottom w:val="single" w:sz="4" w:space="0" w:color="000000"/>
                    <w:right w:val="single" w:sz="4" w:space="0" w:color="000000"/>
                  </w:tcBorders>
                </w:tcPr>
                <w:p w:rsidR="00025B8E" w:rsidRDefault="00C13F2C">
                  <w:r>
                    <w:t xml:space="preserve"> </w:t>
                  </w:r>
                </w:p>
              </w:tc>
            </w:tr>
          </w:tbl>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46" w:line="273" w:lineRule="auto"/>
            </w:pPr>
            <w:r>
              <w:rPr>
                <w:rFonts w:ascii="Arial" w:eastAsia="Arial" w:hAnsi="Arial" w:cs="Arial"/>
              </w:rPr>
              <w:t xml:space="preserve">Zgodnie z rozporządzeniem w sprawie dokumentów zamawiający wymaga, aby okres, z którego dopuszczalne jest wykazywanie się określonymi dostawami lub usługami wynosił trzy lata wstecz. W wyjątkowych sytuacjach zamawiający może dopuścić wymagane doświadczenie sprzed ponad trzech lat. </w:t>
            </w:r>
          </w:p>
          <w:p w:rsidR="00025B8E" w:rsidRDefault="00C13F2C">
            <w:pPr>
              <w:spacing w:after="182" w:line="267" w:lineRule="auto"/>
              <w:ind w:right="37"/>
            </w:pPr>
            <w:r>
              <w:rPr>
                <w:rFonts w:ascii="Arial" w:eastAsia="Arial" w:hAnsi="Arial" w:cs="Arial"/>
              </w:rPr>
              <w:t xml:space="preserve">W rubryce należy zamieścić wykonane dostawy lub usługi, które stanowią odpowiedź wykonawcy na opis warunku udziału w postępowaniu (kryterium kwalifikacji) określone przez zamawiającego.  </w:t>
            </w:r>
          </w:p>
          <w:p w:rsidR="00025B8E" w:rsidRDefault="00C13F2C">
            <w:r>
              <w:rPr>
                <w:rFonts w:ascii="Arial" w:eastAsia="Arial" w:hAnsi="Arial" w:cs="Arial"/>
              </w:rPr>
              <w:t xml:space="preserve">Wykaz może obejmować zarówno odbiorców publicznych, jak i prywatnych w odniesieniu do przedmiotowych dostaw lub usług. </w:t>
            </w:r>
          </w:p>
        </w:tc>
      </w:tr>
      <w:tr w:rsidR="00025B8E">
        <w:trPr>
          <w:trHeight w:val="3015"/>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65" w:lineRule="auto"/>
              <w:ind w:left="2"/>
            </w:pPr>
            <w:r>
              <w:t xml:space="preserve">2) Może skorzystać z usług następujących </w:t>
            </w:r>
            <w:r>
              <w:rPr>
                <w:b/>
              </w:rPr>
              <w:t xml:space="preserve">pracowników technicznych lub służb </w:t>
            </w:r>
            <w:r>
              <w:rPr>
                <w:b/>
              </w:rPr>
              <w:lastRenderedPageBreak/>
              <w:t>technicznych</w:t>
            </w:r>
            <w:r>
              <w:t xml:space="preserve"> (</w:t>
            </w:r>
            <w:r>
              <w:rPr>
                <w:rFonts w:ascii="Arial" w:eastAsia="Arial" w:hAnsi="Arial" w:cs="Arial"/>
                <w:b/>
                <w:sz w:val="20"/>
                <w:vertAlign w:val="superscript"/>
              </w:rPr>
              <w:footnoteReference w:id="35"/>
            </w:r>
            <w:r>
              <w:t xml:space="preserve">), w szczególności tych odpowiedzialnych za kontrolę jakości: </w:t>
            </w:r>
          </w:p>
          <w:p w:rsidR="00025B8E" w:rsidRDefault="00C13F2C">
            <w:pPr>
              <w:ind w:left="2"/>
            </w:pPr>
            <w:r>
              <w:t xml:space="preserve">W przypadku zamówień publicznych na roboty budowlane wykonawca będzie mógł się zwrócić do następujących pracowników technicznych lub służb technicznych o wykonanie robót: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tej rubryce formularza należy zawrzeć wykaz osób skierowanych przez wykonawcę do realizacji zamówienia, w szczególności odpowiedzialnych za świadczenie usług, kontrolę jakości lub kierowanie robotami budowlanymi, adekwatnie do wymogów określonych w tym zakresie przez zamawiającego w opisie warunku udziału w postępowaniu (kryterium kwalifikacji), które odnosi się do potencjału osobowego wykonawcy. Tym samym w tym miejscu </w:t>
            </w:r>
          </w:p>
        </w:tc>
      </w:tr>
    </w:tbl>
    <w:p w:rsidR="00025B8E" w:rsidRDefault="00025B8E">
      <w:pPr>
        <w:spacing w:after="0"/>
        <w:ind w:left="-1406" w:right="66"/>
      </w:pPr>
    </w:p>
    <w:tbl>
      <w:tblPr>
        <w:tblStyle w:val="TableGrid"/>
        <w:tblW w:w="13937" w:type="dxa"/>
        <w:tblInd w:w="17" w:type="dxa"/>
        <w:tblCellMar>
          <w:top w:w="15" w:type="dxa"/>
          <w:left w:w="106" w:type="dxa"/>
          <w:right w:w="51" w:type="dxa"/>
        </w:tblCellMar>
        <w:tblLook w:val="04A0" w:firstRow="1" w:lastRow="0" w:firstColumn="1" w:lastColumn="0" w:noHBand="0" w:noVBand="1"/>
      </w:tblPr>
      <w:tblGrid>
        <w:gridCol w:w="4645"/>
        <w:gridCol w:w="4647"/>
        <w:gridCol w:w="4645"/>
      </w:tblGrid>
      <w:tr w:rsidR="00025B8E">
        <w:trPr>
          <w:trHeight w:val="1262"/>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formularza można wskazać przykładowo informacje dotyczące kwalifikacji tych osób, o ile zamawiający określił w tym zakresie konkretne wymogi. </w:t>
            </w:r>
          </w:p>
        </w:tc>
      </w:tr>
      <w:tr w:rsidR="00025B8E">
        <w:trPr>
          <w:trHeight w:val="2900"/>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3) Korzysta z następujących </w:t>
            </w:r>
            <w:r>
              <w:rPr>
                <w:b/>
              </w:rPr>
              <w:t>urządzeń technicznych oraz środków w celu zapewnienia jakości</w:t>
            </w:r>
            <w:r>
              <w:t xml:space="preserve">, a jego </w:t>
            </w:r>
            <w:r>
              <w:rPr>
                <w:b/>
              </w:rPr>
              <w:t>zaplecze naukowo-badawcze</w:t>
            </w:r>
            <w:r>
              <w:t xml:space="preserve"> jest następujące: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tym miejscu formularza wykonawca składa oświadczenie dotyczące potencjału technicznego, tj. urządzeń technicznych, środków niezbędnych w celu zapewnienia jakości czy też określonego zaplecza naukowo- badawczego, które będzie w dyspozycji wykonawcy, adekwatnie do opisu warunku udziału w postępowaniu (kryterium kwalifikacji) dokonanego przez zamawiającego. </w:t>
            </w:r>
          </w:p>
        </w:tc>
      </w:tr>
      <w:tr w:rsidR="00025B8E">
        <w:trPr>
          <w:trHeight w:val="262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4) Podczas realizacji zamówienia będzie mógł stosować następujące systemy </w:t>
            </w:r>
            <w:r>
              <w:rPr>
                <w:b/>
              </w:rPr>
              <w:t>zarządzania łańcuchem dostaw</w:t>
            </w:r>
            <w:r>
              <w:t xml:space="preserve"> i śledzenia łańcucha dostaw: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right="11"/>
            </w:pPr>
            <w:r>
              <w:rPr>
                <w:rFonts w:ascii="Arial" w:eastAsia="Arial" w:hAnsi="Arial" w:cs="Arial"/>
              </w:rPr>
              <w:t xml:space="preserve">W tym miejscu formularza wykonawca składa oświadczenie dotyczące potencjału technicznego wykonawcy, dzięki któremu  będzie możliwe ustalenie umiejętności wykonawcy i właściwego sposobu realizacji dostaw, adekwatnie do opisu warunku udziału w postępowaniu (kryterium kwalifikacji) dokonanego przez zamawiającego. </w:t>
            </w:r>
          </w:p>
        </w:tc>
      </w:tr>
      <w:tr w:rsidR="00025B8E">
        <w:trPr>
          <w:trHeight w:val="2081"/>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58" w:lineRule="auto"/>
              <w:ind w:left="2"/>
            </w:pPr>
            <w:r>
              <w:rPr>
                <w:b/>
              </w:rPr>
              <w:t xml:space="preserve">5) W odniesieniu do produktów lub usług o złożonym charakterze, które mają zostać dostarczone, lub – wyjątkowo – w odniesieniu do produktów lub usług o szczególnym przeznaczeniu </w:t>
            </w:r>
          </w:p>
          <w:p w:rsidR="00025B8E" w:rsidRDefault="00C13F2C">
            <w:pPr>
              <w:ind w:left="2"/>
            </w:pPr>
            <w:r>
              <w:t xml:space="preserve">Czy wykonawca </w:t>
            </w:r>
            <w:r>
              <w:rPr>
                <w:b/>
              </w:rPr>
              <w:t>zezwoli</w:t>
            </w:r>
            <w:r>
              <w:t xml:space="preserve"> na przeprowadzenie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Tak [] Nie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tym miejscu formularza wykonawca składa oświadczenie o wyrażeniu zgody na przeprowadzenie kontroli swoich zdolności produkcyjnych lub zdolności technicznych a także dostępnych mu środków naukowych i badawczych, jak również środków kontroli jakości, z których będzie korzystać.  </w:t>
            </w:r>
          </w:p>
        </w:tc>
      </w:tr>
    </w:tbl>
    <w:p w:rsidR="00025B8E" w:rsidRDefault="00025B8E">
      <w:pPr>
        <w:spacing w:after="0"/>
        <w:ind w:left="-1406" w:right="66"/>
      </w:pPr>
    </w:p>
    <w:tbl>
      <w:tblPr>
        <w:tblStyle w:val="TableGrid"/>
        <w:tblW w:w="13937" w:type="dxa"/>
        <w:tblInd w:w="17" w:type="dxa"/>
        <w:tblCellMar>
          <w:top w:w="27" w:type="dxa"/>
          <w:left w:w="106" w:type="dxa"/>
          <w:right w:w="55" w:type="dxa"/>
        </w:tblCellMar>
        <w:tblLook w:val="04A0" w:firstRow="1" w:lastRow="0" w:firstColumn="1" w:lastColumn="0" w:noHBand="0" w:noVBand="1"/>
      </w:tblPr>
      <w:tblGrid>
        <w:gridCol w:w="4645"/>
        <w:gridCol w:w="4647"/>
        <w:gridCol w:w="4645"/>
      </w:tblGrid>
      <w:tr w:rsidR="00025B8E">
        <w:trPr>
          <w:trHeight w:val="3992"/>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lastRenderedPageBreak/>
              <w:t>kontroli</w:t>
            </w:r>
            <w:r>
              <w:t xml:space="preserve"> (</w:t>
            </w:r>
            <w:r>
              <w:rPr>
                <w:rFonts w:ascii="Arial" w:eastAsia="Arial" w:hAnsi="Arial" w:cs="Arial"/>
                <w:b/>
                <w:sz w:val="20"/>
                <w:vertAlign w:val="superscript"/>
              </w:rPr>
              <w:footnoteReference w:id="36"/>
            </w:r>
            <w:r>
              <w:t xml:space="preserve">) swoich </w:t>
            </w:r>
            <w:r>
              <w:rPr>
                <w:b/>
              </w:rPr>
              <w:t>zdolności produkcyjnych</w:t>
            </w:r>
            <w:r>
              <w:t xml:space="preserve"> lub </w:t>
            </w:r>
            <w:r>
              <w:rPr>
                <w:b/>
              </w:rPr>
              <w:t>zdolności technicznych</w:t>
            </w:r>
            <w:r>
              <w:t xml:space="preserve">, a w razie konieczności także dostępnych mu </w:t>
            </w:r>
            <w:r>
              <w:rPr>
                <w:b/>
              </w:rPr>
              <w:t>środków naukowych i badawczych</w:t>
            </w:r>
            <w:r>
              <w:t xml:space="preserve">, jak również </w:t>
            </w:r>
            <w:r>
              <w:rPr>
                <w:b/>
              </w:rPr>
              <w:t>środków kontroli jakości</w:t>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Wskazana pozycja formularza odnosi się do dostaw lub usług o złożonym charakterze, jeżeli zamawiający w tym zakresie wprowadził szczegółowe wymagania – dokonał opisu warunku udziału w postępowaniu (kryterium kwalifikacji). Opis warunku zawarty w treści ogłoszenia o zamówieniu lub SIWZ powinien zawierać szczegółową procedurę pozwalającą na przeprowadzenie takiego badania (kontroli) u wykonawcy zaś oświadczenie wykonawcy zawarte w tym miejscu formularza powinno jedynie wyrażać zgodę na poddanie się takiemu badaniu. </w:t>
            </w:r>
          </w:p>
        </w:tc>
      </w:tr>
      <w:tr w:rsidR="00025B8E">
        <w:trPr>
          <w:trHeight w:val="3995"/>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right="333"/>
            </w:pPr>
            <w:r>
              <w:t xml:space="preserve">6) Następującym </w:t>
            </w:r>
            <w:r>
              <w:rPr>
                <w:b/>
              </w:rPr>
              <w:t>wykształceniem i kwalifikacjami zawodowymi</w:t>
            </w:r>
            <w:r>
              <w:t xml:space="preserve"> legitymuje się: a) sam usługodawca lub wykonawca: </w:t>
            </w:r>
          </w:p>
          <w:p w:rsidR="00025B8E" w:rsidRDefault="00C13F2C">
            <w:pPr>
              <w:spacing w:after="1" w:line="258" w:lineRule="auto"/>
              <w:ind w:left="2"/>
            </w:pPr>
            <w:r>
              <w:rPr>
                <w:b/>
              </w:rPr>
              <w:t>lub</w:t>
            </w:r>
            <w:r>
              <w:t xml:space="preserve"> (w zależności od wymogów określonych w stosownym ogłoszeniu lub dokumentach zamówienia): </w:t>
            </w:r>
          </w:p>
          <w:p w:rsidR="00025B8E" w:rsidRDefault="00C13F2C">
            <w:pPr>
              <w:ind w:left="2"/>
            </w:pPr>
            <w:r>
              <w:t>b) jego kadra kierownicza:</w:t>
            </w:r>
            <w:r>
              <w:rPr>
                <w:b/>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w:t>
            </w:r>
          </w:p>
          <w:p w:rsidR="00025B8E" w:rsidRDefault="00C13F2C">
            <w:pPr>
              <w:numPr>
                <w:ilvl w:val="0"/>
                <w:numId w:val="30"/>
              </w:numPr>
              <w:ind w:hanging="233"/>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numPr>
                <w:ilvl w:val="0"/>
                <w:numId w:val="30"/>
              </w:numPr>
              <w:ind w:hanging="233"/>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tym miejscu formularza wykonawca składa oświadczenie dotyczące swojego potencjału osobowego: jego kwalifikacji zawodowych </w:t>
            </w:r>
          </w:p>
          <w:p w:rsidR="00025B8E" w:rsidRDefault="00C13F2C">
            <w:pPr>
              <w:spacing w:line="284" w:lineRule="auto"/>
            </w:pPr>
            <w:r>
              <w:rPr>
                <w:rFonts w:ascii="Arial" w:eastAsia="Arial" w:hAnsi="Arial" w:cs="Arial"/>
              </w:rPr>
              <w:t xml:space="preserve">oraz wykształcenia. Istotne jest, że oświadczenie to dotyczy samego wykonawcy </w:t>
            </w:r>
          </w:p>
          <w:p w:rsidR="00025B8E" w:rsidRDefault="00C13F2C">
            <w:pPr>
              <w:spacing w:after="142" w:line="275" w:lineRule="auto"/>
              <w:ind w:right="44"/>
            </w:pPr>
            <w:r>
              <w:rPr>
                <w:rFonts w:ascii="Arial" w:eastAsia="Arial" w:hAnsi="Arial" w:cs="Arial"/>
              </w:rPr>
              <w:t xml:space="preserve">i jego kadry kierowniczej (organów zarządzających) i należy je odróżnić od warunku dotyczącego osób skierowanych do realizacji zamówienia i oświadczenia składanego przez wykonawcę w tym zakresie, które to oświadczenie składa się we wcześniejszej rubryce formularza.  </w:t>
            </w:r>
          </w:p>
          <w:p w:rsidR="00025B8E" w:rsidRDefault="00C13F2C">
            <w:r>
              <w:rPr>
                <w:rFonts w:ascii="Arial" w:eastAsia="Arial" w:hAnsi="Arial" w:cs="Arial"/>
              </w:rPr>
              <w:t xml:space="preserve">Oświadczenie to jest składane jedynie w sytuacji gdy zamawiający dokona opisu </w:t>
            </w:r>
          </w:p>
        </w:tc>
      </w:tr>
    </w:tbl>
    <w:p w:rsidR="00025B8E" w:rsidRDefault="00025B8E">
      <w:pPr>
        <w:spacing w:after="0"/>
        <w:ind w:left="-1406" w:right="66"/>
      </w:pPr>
    </w:p>
    <w:tbl>
      <w:tblPr>
        <w:tblStyle w:val="TableGrid"/>
        <w:tblW w:w="13937" w:type="dxa"/>
        <w:tblInd w:w="17" w:type="dxa"/>
        <w:tblCellMar>
          <w:top w:w="38" w:type="dxa"/>
          <w:left w:w="106" w:type="dxa"/>
          <w:right w:w="51" w:type="dxa"/>
        </w:tblCellMar>
        <w:tblLook w:val="04A0" w:firstRow="1" w:lastRow="0" w:firstColumn="1" w:lastColumn="0" w:noHBand="0" w:noVBand="1"/>
      </w:tblPr>
      <w:tblGrid>
        <w:gridCol w:w="4645"/>
        <w:gridCol w:w="4647"/>
        <w:gridCol w:w="4645"/>
      </w:tblGrid>
      <w:tr w:rsidR="00025B8E">
        <w:trPr>
          <w:trHeight w:val="715"/>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warunku udziału w postępowaniu (kryterium kwalifikacji) i adekwatnie do tego opisu. </w:t>
            </w:r>
          </w:p>
        </w:tc>
      </w:tr>
      <w:tr w:rsidR="00025B8E">
        <w:trPr>
          <w:trHeight w:val="485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right="488"/>
              <w:jc w:val="both"/>
            </w:pPr>
            <w:r>
              <w:t xml:space="preserve">7) Podczas realizacji zamówienia wykonawca będzie mógł stosować następujące </w:t>
            </w:r>
            <w:r>
              <w:rPr>
                <w:b/>
              </w:rPr>
              <w:t>środki zarządzania środowiskowego</w:t>
            </w: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39" w:line="277" w:lineRule="auto"/>
            </w:pPr>
            <w:r>
              <w:rPr>
                <w:rFonts w:ascii="Arial" w:eastAsia="Arial" w:hAnsi="Arial" w:cs="Arial"/>
              </w:rPr>
              <w:t xml:space="preserve">W tym miejscu formularza wykonawca składa oświadczenie dotyczące środków zarządzania środowiskowego. </w:t>
            </w:r>
          </w:p>
          <w:p w:rsidR="00025B8E" w:rsidRDefault="00C13F2C">
            <w:pPr>
              <w:spacing w:after="144" w:line="272" w:lineRule="auto"/>
              <w:ind w:right="97"/>
            </w:pPr>
            <w:r>
              <w:rPr>
                <w:rFonts w:ascii="Arial" w:eastAsia="Arial" w:hAnsi="Arial" w:cs="Arial"/>
                <w:color w:val="212121"/>
              </w:rPr>
              <w:t>Zgodnie z rozporządzeniem w sprawie EMAS system zarządzania środowiskowego oznacza część ogólnego systemu zarządzania, która obejmuje strukturę organizacyjną, czynności planowania, zakres odpowiedzialności, praktyki, procedury, procesy i  zasoby służące rozwijaniu, wdrażaniu, osiąganiu, przeglądowi i  utrzymaniu polityki środowiskowej oraz zarządzaniu aspektami środowiskowymi.</w:t>
            </w:r>
            <w:r>
              <w:rPr>
                <w:rFonts w:ascii="Arial" w:eastAsia="Arial" w:hAnsi="Arial" w:cs="Arial"/>
              </w:rPr>
              <w:t xml:space="preserve"> </w:t>
            </w:r>
          </w:p>
          <w:p w:rsidR="00025B8E" w:rsidRDefault="00C13F2C">
            <w:pPr>
              <w:ind w:right="47"/>
            </w:pPr>
            <w:r>
              <w:rPr>
                <w:rFonts w:ascii="Arial" w:eastAsia="Arial" w:hAnsi="Arial" w:cs="Arial"/>
              </w:rPr>
              <w:t xml:space="preserve">Oświadczenie wykonawca składa adekwatnie do opisu warunku udziału w  postępowaniu (kryterium kwalifikacji) </w:t>
            </w:r>
          </w:p>
        </w:tc>
      </w:tr>
      <w:tr w:rsidR="00025B8E">
        <w:trPr>
          <w:trHeight w:val="2902"/>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2" w:line="256" w:lineRule="auto"/>
              <w:ind w:left="2"/>
            </w:pPr>
            <w:r>
              <w:t xml:space="preserve">8) Wielkość </w:t>
            </w:r>
            <w:r>
              <w:rPr>
                <w:b/>
              </w:rPr>
              <w:t>średniego rocznego zatrudnienia</w:t>
            </w:r>
            <w:r>
              <w:t xml:space="preserve"> u wykonawcy oraz liczebność kadry kierowniczej w </w:t>
            </w:r>
          </w:p>
          <w:p w:rsidR="00025B8E" w:rsidRDefault="00C13F2C">
            <w:pPr>
              <w:ind w:left="2"/>
            </w:pPr>
            <w:r>
              <w:t xml:space="preserve">ostatnich trzech latach są następujące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Rok, średnie roczne zatrudnienie: </w:t>
            </w:r>
          </w:p>
          <w:p w:rsidR="00025B8E" w:rsidRDefault="00C13F2C">
            <w:pPr>
              <w:ind w:left="2"/>
            </w:pPr>
            <w:r>
              <w:t xml:space="preserve">[……], [……] </w:t>
            </w:r>
          </w:p>
          <w:p w:rsidR="00025B8E" w:rsidRDefault="00C13F2C">
            <w:pPr>
              <w:ind w:left="2"/>
            </w:pPr>
            <w:r>
              <w:t xml:space="preserve">[……], [……] </w:t>
            </w:r>
          </w:p>
          <w:p w:rsidR="00025B8E" w:rsidRDefault="00C13F2C">
            <w:pPr>
              <w:ind w:left="2"/>
            </w:pPr>
            <w:r>
              <w:t xml:space="preserve">[……], [……] </w:t>
            </w:r>
          </w:p>
          <w:p w:rsidR="00025B8E" w:rsidRDefault="00C13F2C">
            <w:pPr>
              <w:ind w:left="2"/>
            </w:pPr>
            <w:r>
              <w:t xml:space="preserve">Rok, liczebność kadry kierowniczej: </w:t>
            </w:r>
          </w:p>
          <w:p w:rsidR="00025B8E" w:rsidRDefault="00C13F2C">
            <w:pPr>
              <w:ind w:left="2"/>
            </w:pPr>
            <w:r>
              <w:t xml:space="preserve">[……], [……] </w:t>
            </w:r>
          </w:p>
          <w:p w:rsidR="00025B8E" w:rsidRDefault="00C13F2C">
            <w:pPr>
              <w:ind w:left="2"/>
            </w:pPr>
            <w:r>
              <w:t xml:space="preserve">[……], [……] </w:t>
            </w:r>
          </w:p>
          <w:p w:rsidR="00025B8E" w:rsidRDefault="00C13F2C">
            <w:pPr>
              <w:ind w:left="2"/>
            </w:pPr>
            <w:r>
              <w:t xml:space="preserve">[……], [……]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57" w:line="261" w:lineRule="auto"/>
            </w:pPr>
            <w:r>
              <w:rPr>
                <w:rFonts w:ascii="Arial" w:eastAsia="Arial" w:hAnsi="Arial" w:cs="Arial"/>
              </w:rPr>
              <w:t xml:space="preserve">W tym miejscu formularza wykonawca składa oświadczenie dotyczące jego potencjału kadrowego pod kątem liczebności kadry kierowniczej oraz średniorocznego zatrudniania w zależności od tego jak opisze ten warunek udziału w postępowaniu (kryterium kwalifikacji) zamawiający. </w:t>
            </w:r>
          </w:p>
          <w:p w:rsidR="00025B8E" w:rsidRDefault="00C13F2C">
            <w:r>
              <w:rPr>
                <w:rFonts w:ascii="Arial" w:eastAsia="Arial" w:hAnsi="Arial" w:cs="Arial"/>
              </w:rPr>
              <w:t xml:space="preserve">Jeżeli okres prowadzenia działalności wykonawcy jest krótszy niż 3 lata to składane przez wykonawcę oświadczenie powinno </w:t>
            </w:r>
          </w:p>
        </w:tc>
      </w:tr>
    </w:tbl>
    <w:p w:rsidR="00025B8E" w:rsidRDefault="00025B8E">
      <w:pPr>
        <w:spacing w:after="0"/>
        <w:ind w:left="-1406" w:right="66"/>
      </w:pPr>
    </w:p>
    <w:tbl>
      <w:tblPr>
        <w:tblStyle w:val="TableGrid"/>
        <w:tblW w:w="13937" w:type="dxa"/>
        <w:tblInd w:w="17" w:type="dxa"/>
        <w:tblCellMar>
          <w:top w:w="46" w:type="dxa"/>
          <w:left w:w="106" w:type="dxa"/>
          <w:right w:w="55" w:type="dxa"/>
        </w:tblCellMar>
        <w:tblLook w:val="04A0" w:firstRow="1" w:lastRow="0" w:firstColumn="1" w:lastColumn="0" w:noHBand="0" w:noVBand="1"/>
      </w:tblPr>
      <w:tblGrid>
        <w:gridCol w:w="4645"/>
        <w:gridCol w:w="4647"/>
        <w:gridCol w:w="4645"/>
      </w:tblGrid>
      <w:tr w:rsidR="00025B8E">
        <w:trPr>
          <w:trHeight w:val="715"/>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dotyczyć okresu faktycznie prowadzonej działalności </w:t>
            </w:r>
          </w:p>
        </w:tc>
      </w:tr>
      <w:tr w:rsidR="00025B8E">
        <w:trPr>
          <w:trHeight w:val="262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9) Będzie dysponował następującymi </w:t>
            </w:r>
            <w:r>
              <w:rPr>
                <w:b/>
              </w:rPr>
              <w:t xml:space="preserve">narzędziami, wyposażeniem zakładu i </w:t>
            </w:r>
          </w:p>
          <w:p w:rsidR="00025B8E" w:rsidRDefault="00C13F2C">
            <w:pPr>
              <w:ind w:left="2"/>
            </w:pPr>
            <w:r>
              <w:rPr>
                <w:b/>
              </w:rPr>
              <w:t>urządzeniami technicznymi</w:t>
            </w:r>
            <w:r>
              <w:t xml:space="preserve"> na potrzeby realizacji zamówienia: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 tym miejscu formularza wykonawca składa oświadczenie dotyczące potencjału technicznego służącego realizacji zamówienia. Chodzi o konkretne narzędzia, urządzenia techniczne czy też wyposażenie zakładu, na które w opisie warunku udziału w postępowaniu (kryterium kwalifikacji) wskazuje zamawiający, a które służą wprost wykonaniu zamówienia. </w:t>
            </w:r>
          </w:p>
        </w:tc>
      </w:tr>
      <w:tr w:rsidR="00025B8E">
        <w:trPr>
          <w:trHeight w:val="481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line="269" w:lineRule="auto"/>
              <w:ind w:left="2"/>
            </w:pPr>
            <w:r>
              <w:t xml:space="preserve">10) Wykonawca </w:t>
            </w:r>
            <w:r>
              <w:rPr>
                <w:b/>
              </w:rPr>
              <w:t>zamierza ewentualnie zlecić podwykonawcom</w:t>
            </w:r>
            <w:r>
              <w:t xml:space="preserve"> (</w:t>
            </w:r>
            <w:r>
              <w:rPr>
                <w:rFonts w:ascii="Arial" w:eastAsia="Arial" w:hAnsi="Arial" w:cs="Arial"/>
                <w:b/>
                <w:sz w:val="20"/>
                <w:vertAlign w:val="superscript"/>
              </w:rPr>
              <w:footnoteReference w:id="37"/>
            </w:r>
            <w:r>
              <w:t xml:space="preserve">) następującą </w:t>
            </w:r>
            <w:r>
              <w:rPr>
                <w:b/>
              </w:rPr>
              <w:t xml:space="preserve">część </w:t>
            </w:r>
          </w:p>
          <w:p w:rsidR="00025B8E" w:rsidRDefault="00C13F2C">
            <w:pPr>
              <w:ind w:left="2"/>
            </w:pPr>
            <w:r>
              <w:rPr>
                <w:b/>
              </w:rPr>
              <w:t>(procentową)</w:t>
            </w:r>
            <w:r>
              <w:t xml:space="preserve"> zamówienia: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96" w:line="258" w:lineRule="auto"/>
            </w:pPr>
            <w:r>
              <w:rPr>
                <w:rFonts w:ascii="Arial" w:eastAsia="Arial" w:hAnsi="Arial" w:cs="Arial"/>
              </w:rPr>
              <w:t xml:space="preserve">Niniejsze miejsce formularza związane jest z informacjami zawartymi w formularzu w części II sekcja C. W tym miejscu jednak wykonawca ogranicza się w swoim oświadczeniu do wskazania procentowej części zamówienia powierzonego konkretnemu podwykonawcy.  </w:t>
            </w:r>
          </w:p>
          <w:p w:rsidR="00025B8E" w:rsidRDefault="00C13F2C">
            <w:r>
              <w:rPr>
                <w:rFonts w:ascii="Arial" w:eastAsia="Arial" w:hAnsi="Arial" w:cs="Arial"/>
              </w:rPr>
              <w:t xml:space="preserve">Należy zauważyć, że jeżeli wykonawca postanowił zlecić podwykonawcom realizację części zamówienia oraz polega na zdolności podwykonawców na potrzeby realizacji tej części, to należy wypełnić odrębny jednolity dokument dla tych podwykonawców (zob. powyżej, część II sekcja C). W przypadkach, w których wykonawca nie polega na zasobach podwykonawców przedkłada odrębny jednolity dokument podwykonawcy </w:t>
            </w:r>
          </w:p>
        </w:tc>
      </w:tr>
    </w:tbl>
    <w:p w:rsidR="00025B8E" w:rsidRDefault="00025B8E">
      <w:pPr>
        <w:spacing w:after="0"/>
        <w:ind w:left="-1406" w:right="66"/>
      </w:pPr>
    </w:p>
    <w:tbl>
      <w:tblPr>
        <w:tblStyle w:val="TableGrid"/>
        <w:tblW w:w="13937" w:type="dxa"/>
        <w:tblInd w:w="17" w:type="dxa"/>
        <w:tblCellMar>
          <w:top w:w="39" w:type="dxa"/>
          <w:left w:w="106" w:type="dxa"/>
          <w:right w:w="53" w:type="dxa"/>
        </w:tblCellMar>
        <w:tblLook w:val="04A0" w:firstRow="1" w:lastRow="0" w:firstColumn="1" w:lastColumn="0" w:noHBand="0" w:noVBand="1"/>
      </w:tblPr>
      <w:tblGrid>
        <w:gridCol w:w="4645"/>
        <w:gridCol w:w="4647"/>
        <w:gridCol w:w="4645"/>
      </w:tblGrid>
      <w:tr w:rsidR="00025B8E">
        <w:trPr>
          <w:trHeight w:val="989"/>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wypełniony tylko w zakresie podstaw wykluczenia i tylko, jeśli wymaga tego zamawiający. </w:t>
            </w:r>
          </w:p>
        </w:tc>
      </w:tr>
      <w:tr w:rsidR="00025B8E">
        <w:trPr>
          <w:trHeight w:val="4266"/>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11) W odniesieniu do </w:t>
            </w:r>
            <w:r>
              <w:rPr>
                <w:b/>
              </w:rPr>
              <w:t xml:space="preserve">zamówień publicznych na dostawy </w:t>
            </w:r>
            <w:r>
              <w:t xml:space="preserve"> </w:t>
            </w:r>
          </w:p>
          <w:p w:rsidR="00025B8E" w:rsidRDefault="00C13F2C">
            <w:pPr>
              <w:spacing w:after="1" w:line="258" w:lineRule="auto"/>
              <w:ind w:left="2"/>
            </w:pPr>
            <w:r>
              <w:t xml:space="preserve">Wykonawca dostarczy wymagane próbki, opisy lub fotografie produktów, które mają być dostarczone i którym nie musi towarzyszyć świadectwo autentyczności. </w:t>
            </w:r>
          </w:p>
          <w:p w:rsidR="00025B8E" w:rsidRDefault="00C13F2C">
            <w:pPr>
              <w:spacing w:after="1" w:line="258" w:lineRule="auto"/>
              <w:ind w:left="2" w:right="2"/>
            </w:pPr>
            <w:r>
              <w:t xml:space="preserve">Wykonawca oświadcza ponadto, że w stosownych przypadkach przedstawi wymagane świadectwa autentyczności. </w:t>
            </w:r>
          </w:p>
          <w:p w:rsidR="00025B8E" w:rsidRDefault="00C13F2C">
            <w:pPr>
              <w:ind w:left="2"/>
            </w:pPr>
            <w:r>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35" w:line="258" w:lineRule="auto"/>
            </w:pPr>
            <w:r>
              <w:rPr>
                <w:rFonts w:ascii="Arial" w:eastAsia="Arial" w:hAnsi="Arial" w:cs="Arial"/>
              </w:rPr>
              <w:t xml:space="preserve">W tym miejscu formularza wykonawca składa oświadczenie dotyczące możliwości dostarczenia przez niego dokumentów potwierdzających spełnianie przez oferowany przez niego przedmiot zamówienia wymogów określonych przez zamawiającego. </w:t>
            </w:r>
          </w:p>
          <w:p w:rsidR="00025B8E" w:rsidRDefault="00C13F2C">
            <w:pPr>
              <w:ind w:right="23"/>
            </w:pPr>
            <w:r>
              <w:rPr>
                <w:rFonts w:ascii="Arial" w:eastAsia="Arial" w:hAnsi="Arial" w:cs="Arial"/>
              </w:rPr>
              <w:t xml:space="preserve">Zasadniczo są to dokumenty przedmiotowe odnoszące się do opisu przedmiotu zamówienia albo określonych kryteriów oceny ofert. W tym miejscu formularza mamy jednak do czynienia jedynie ze wstępnym oświadczeniem wykonawcy dotyczącym w ogóle możliwości złożenia przez niego, w stosownych przypadkach, takich dokumentów. </w:t>
            </w:r>
          </w:p>
        </w:tc>
      </w:tr>
      <w:tr w:rsidR="00025B8E">
        <w:trPr>
          <w:trHeight w:val="377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12) W odniesieniu do </w:t>
            </w:r>
            <w:r>
              <w:rPr>
                <w:b/>
              </w:rPr>
              <w:t>zamówień publicznych na dostawy</w:t>
            </w:r>
            <w:r>
              <w:t xml:space="preserve">  </w:t>
            </w:r>
          </w:p>
          <w:p w:rsidR="00025B8E" w:rsidRDefault="00C13F2C">
            <w:pPr>
              <w:spacing w:line="258" w:lineRule="auto"/>
              <w:ind w:left="2"/>
            </w:pPr>
            <w:r>
              <w:t xml:space="preserve">Czy wykonawca może przedstawić wymagane </w:t>
            </w:r>
            <w:r>
              <w:rPr>
                <w:b/>
              </w:rPr>
              <w:t>zaświadczenia</w:t>
            </w:r>
            <w:r>
              <w:t xml:space="preserve"> sporządzone przez urzędowe </w:t>
            </w:r>
            <w:r>
              <w:rPr>
                <w:b/>
              </w:rPr>
              <w:t>instytuty</w:t>
            </w:r>
            <w:r>
              <w:t xml:space="preserve"> lub agencje </w:t>
            </w:r>
            <w:r>
              <w:rPr>
                <w:b/>
              </w:rPr>
              <w:t>kontroli jakości</w:t>
            </w:r>
            <w:r>
              <w:t xml:space="preserve"> o uznanych kompetencjach, potwierdzające zgodność produktów poprzez wyraźne odniesienie do specyfikacji technicznych lub norm, które zostały </w:t>
            </w:r>
          </w:p>
          <w:p w:rsidR="00025B8E" w:rsidRDefault="00C13F2C">
            <w:pPr>
              <w:ind w:left="2"/>
            </w:pPr>
            <w:r>
              <w:t xml:space="preserve">określone w stosownym ogłoszeniu lub dokumentach zamówienia? </w:t>
            </w:r>
          </w:p>
          <w:p w:rsidR="00025B8E" w:rsidRDefault="00C13F2C">
            <w:pPr>
              <w:ind w:left="2"/>
            </w:pPr>
            <w:r>
              <w:rPr>
                <w:b/>
              </w:rPr>
              <w:t>Jeżeli nie</w:t>
            </w:r>
            <w:r>
              <w:t xml:space="preserve">, proszę wyjaśnić dlaczego, i wskazać, jakie inne środki dowodowe mogą zostać przedstawione: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w:t>
            </w:r>
          </w:p>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46" w:line="273" w:lineRule="auto"/>
            </w:pPr>
            <w:r>
              <w:rPr>
                <w:rFonts w:ascii="Arial" w:eastAsia="Arial" w:hAnsi="Arial" w:cs="Arial"/>
              </w:rPr>
              <w:t xml:space="preserve">W tym miejscu formularza wykonawca składa oświadczenie co do możliwości przedłożenia przez niego określonego dokumentu przedmiotowego potwierdzającego zgodność oferowanych produktów z wymaganiami zamawiającego. Oświadczenie ma charakter wstępny i odnosi się do możliwości wykonawcy przedłożenia takiego dokumentu zamawiającemu. </w:t>
            </w:r>
          </w:p>
          <w:p w:rsidR="00025B8E" w:rsidRDefault="00C13F2C">
            <w:r>
              <w:rPr>
                <w:rFonts w:ascii="Arial" w:eastAsia="Arial" w:hAnsi="Arial" w:cs="Arial"/>
              </w:rPr>
              <w:t xml:space="preserve">W przypadku braku możliwości przedstawienia takich dokumentów wykonawca powinien w formularzu określić przyczyny tego stanu rzeczy i przywołać </w:t>
            </w:r>
          </w:p>
        </w:tc>
      </w:tr>
    </w:tbl>
    <w:p w:rsidR="00025B8E" w:rsidRDefault="00025B8E">
      <w:pPr>
        <w:spacing w:after="0"/>
        <w:ind w:left="-1406" w:right="66"/>
      </w:pPr>
    </w:p>
    <w:tbl>
      <w:tblPr>
        <w:tblStyle w:val="TableGrid"/>
        <w:tblW w:w="13937" w:type="dxa"/>
        <w:tblInd w:w="17" w:type="dxa"/>
        <w:tblCellMar>
          <w:top w:w="46" w:type="dxa"/>
          <w:left w:w="106" w:type="dxa"/>
          <w:right w:w="64" w:type="dxa"/>
        </w:tblCellMar>
        <w:tblLook w:val="04A0" w:firstRow="1" w:lastRow="0" w:firstColumn="1" w:lastColumn="0" w:noHBand="0" w:noVBand="1"/>
      </w:tblPr>
      <w:tblGrid>
        <w:gridCol w:w="4645"/>
        <w:gridCol w:w="4647"/>
        <w:gridCol w:w="4645"/>
      </w:tblGrid>
      <w:tr w:rsidR="00025B8E">
        <w:trPr>
          <w:trHeight w:val="8956"/>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określone środki dowodowe potwierdzające </w:t>
            </w:r>
          </w:p>
          <w:p w:rsidR="00025B8E" w:rsidRDefault="00C13F2C">
            <w:pPr>
              <w:spacing w:after="158" w:line="270" w:lineRule="auto"/>
            </w:pPr>
            <w:r>
              <w:rPr>
                <w:rFonts w:ascii="Arial" w:eastAsia="Arial" w:hAnsi="Arial" w:cs="Arial"/>
              </w:rPr>
              <w:t xml:space="preserve">określoną certyfikację produktu, uwzględniającą wymogi kontroli jakości określone w tym zakresie przez zamawiającego  </w:t>
            </w:r>
          </w:p>
          <w:p w:rsidR="00025B8E" w:rsidRDefault="00C13F2C">
            <w:pPr>
              <w:spacing w:after="153" w:line="266" w:lineRule="auto"/>
            </w:pPr>
            <w:r>
              <w:rPr>
                <w:rFonts w:ascii="Arial" w:eastAsia="Arial" w:hAnsi="Arial" w:cs="Arial"/>
              </w:rPr>
              <w:t xml:space="preserve">Zgodnie z art. 30b ustawy Pzp zamawiający może wymagać od wykonawców przedstawienia certyfikatu wydanego przez jednostkę oceniającą zgodność lub sprawozdania z badań przeprowadzonych przez tę jednostkę jako środka dowodowego potwierdzającego zgodność z wymaganiami lub cechami określonymi w opisie przedmiotu zamówienia, kryteriach oceny ofert lub warunkach realizacji zamówienia.  </w:t>
            </w:r>
          </w:p>
          <w:p w:rsidR="00025B8E" w:rsidRDefault="00C13F2C">
            <w:pPr>
              <w:spacing w:after="159" w:line="258" w:lineRule="auto"/>
              <w:ind w:right="39"/>
            </w:pPr>
            <w:r>
              <w:rPr>
                <w:rFonts w:ascii="Arial" w:eastAsia="Arial" w:hAnsi="Arial" w:cs="Arial"/>
              </w:rPr>
              <w:t xml:space="preserve">Przez jednostkę oceniającą zgodność rozumie się jednostkę wykonującą działania z zakresu oceny zgodności, w tym kalibrację, testy, certyfikację i kontrolę, akredytowaną zgodnie z rozporządzeniem Parlamentu Europejskiego i Rady (WE) nr 765/2008 z dnia 9 lipca 2008 r. ustanawiającym wymagania w zakresie akredytacji i nadzoru rynku odnoszące się do warunków wprowadzania produktów do obrotu i uchylającym rozporządzenie (EWG) nr 339/93 (Dz. Urz. UE L 218 z 13.08.2008, str. 30).  </w:t>
            </w:r>
          </w:p>
          <w:p w:rsidR="00025B8E" w:rsidRDefault="00C13F2C">
            <w:r>
              <w:rPr>
                <w:rFonts w:ascii="Arial" w:eastAsia="Arial" w:hAnsi="Arial" w:cs="Arial"/>
              </w:rPr>
              <w:t xml:space="preserve">Na mocy art. 30a ust. 1 ustawy Pzp, w przypadku zamówień o szczególnych cechach, zamawiający może określić w </w:t>
            </w:r>
          </w:p>
        </w:tc>
      </w:tr>
      <w:tr w:rsidR="00025B8E">
        <w:trPr>
          <w:trHeight w:val="2787"/>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39" w:line="277" w:lineRule="auto"/>
            </w:pPr>
            <w:r>
              <w:rPr>
                <w:rFonts w:ascii="Arial" w:eastAsia="Arial" w:hAnsi="Arial" w:cs="Arial"/>
              </w:rPr>
              <w:t xml:space="preserve">opisie przedmiotu zamówienia, w kryteriach oceny ofert lub w warunkach realizacji zamówienia określone oznakowanie. </w:t>
            </w:r>
          </w:p>
          <w:p w:rsidR="00025B8E" w:rsidRDefault="00C13F2C">
            <w:pPr>
              <w:spacing w:after="1" w:line="257" w:lineRule="auto"/>
            </w:pPr>
            <w:r>
              <w:rPr>
                <w:rFonts w:ascii="Arial" w:eastAsia="Arial" w:hAnsi="Arial" w:cs="Arial"/>
              </w:rPr>
              <w:t xml:space="preserve">W przypadku wymagania przedstawienia certyfikatów wydanych przez określoną jednostkę oceniającą zgodność, </w:t>
            </w:r>
          </w:p>
          <w:p w:rsidR="00025B8E" w:rsidRDefault="00C13F2C">
            <w:r>
              <w:rPr>
                <w:rFonts w:ascii="Arial" w:eastAsia="Arial" w:hAnsi="Arial" w:cs="Arial"/>
              </w:rPr>
              <w:t xml:space="preserve">zamawiający akceptuje również inne środki dowodowe, w tym certyfikaty wydane przez równoważne jednostki oceniające zgodność.  </w:t>
            </w:r>
          </w:p>
        </w:tc>
      </w:tr>
    </w:tbl>
    <w:p w:rsidR="00025B8E" w:rsidRDefault="00C13F2C">
      <w:pPr>
        <w:spacing w:after="396"/>
        <w:ind w:left="64"/>
        <w:jc w:val="center"/>
      </w:pPr>
      <w:r>
        <w:rPr>
          <w:rFonts w:ascii="Times New Roman" w:eastAsia="Times New Roman" w:hAnsi="Times New Roman" w:cs="Times New Roman"/>
          <w:b/>
        </w:rPr>
        <w:t xml:space="preserve"> </w:t>
      </w:r>
    </w:p>
    <w:p w:rsidR="00025B8E" w:rsidRDefault="00C13F2C">
      <w:pPr>
        <w:pStyle w:val="Nagwek1"/>
        <w:ind w:left="3262"/>
      </w:pPr>
      <w:r>
        <w:rPr>
          <w:sz w:val="22"/>
        </w:rPr>
        <w:t>D:</w:t>
      </w:r>
      <w:r>
        <w:t xml:space="preserve"> </w:t>
      </w:r>
      <w:r>
        <w:rPr>
          <w:sz w:val="22"/>
        </w:rPr>
        <w:t>S</w:t>
      </w:r>
      <w:r>
        <w:t>YSTEMY ZAPEWNIANIA JAKOŚCI I NORMY ZARZĄDZANIA ŚRODOWISKOWEGO</w:t>
      </w:r>
      <w:r>
        <w:rPr>
          <w:sz w:val="22"/>
        </w:rPr>
        <w:t xml:space="preserve"> </w:t>
      </w:r>
    </w:p>
    <w:tbl>
      <w:tblPr>
        <w:tblStyle w:val="TableGrid"/>
        <w:tblW w:w="13936" w:type="dxa"/>
        <w:tblInd w:w="18" w:type="dxa"/>
        <w:tblCellMar>
          <w:top w:w="8" w:type="dxa"/>
          <w:left w:w="107" w:type="dxa"/>
          <w:right w:w="60" w:type="dxa"/>
        </w:tblCellMar>
        <w:tblLook w:val="04A0" w:firstRow="1" w:lastRow="0" w:firstColumn="1" w:lastColumn="0" w:noHBand="0" w:noVBand="1"/>
      </w:tblPr>
      <w:tblGrid>
        <w:gridCol w:w="4645"/>
        <w:gridCol w:w="4644"/>
        <w:gridCol w:w="4647"/>
      </w:tblGrid>
      <w:tr w:rsidR="00025B8E">
        <w:trPr>
          <w:trHeight w:val="1328"/>
        </w:trPr>
        <w:tc>
          <w:tcPr>
            <w:tcW w:w="9288" w:type="dxa"/>
            <w:gridSpan w:val="2"/>
            <w:tcBorders>
              <w:top w:val="single" w:sz="4" w:space="0" w:color="000000"/>
              <w:left w:val="single" w:sz="4" w:space="0" w:color="000000"/>
              <w:bottom w:val="single" w:sz="4" w:space="0" w:color="000000"/>
              <w:right w:val="single" w:sz="4" w:space="0" w:color="000000"/>
            </w:tcBorders>
            <w:shd w:val="clear" w:color="auto" w:fill="D9D9D9"/>
          </w:tcPr>
          <w:p w:rsidR="00025B8E" w:rsidRDefault="00C13F2C">
            <w:pPr>
              <w:ind w:right="47"/>
              <w:jc w:val="both"/>
            </w:pPr>
            <w:r>
              <w:rPr>
                <w:b/>
              </w:rPr>
              <w:t xml:space="preserve">Wykonawca powinien przedstawić informacje jedynie w przypadku gdy instytucja zamawiająca lub podmiot zamawiający wymagają systemów zapewniania jakości lub norm zarządzania środowiskowego w stosownym ogłoszeniu lub w dokumentach zamówienia, o których mowa w ogłoszeniu.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750"/>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rPr>
                <w:b/>
              </w:rPr>
              <w:t xml:space="preserve">Systemy zapewniania jakości i normy zarządzania środowiskowego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b/>
              </w:rPr>
              <w:t xml:space="preserve">Odpowiedź: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1"/>
            </w:pPr>
            <w:r>
              <w:rPr>
                <w:rFonts w:ascii="Arial" w:eastAsia="Arial" w:hAnsi="Arial" w:cs="Arial"/>
              </w:rPr>
              <w:t xml:space="preserve"> </w:t>
            </w:r>
          </w:p>
        </w:tc>
      </w:tr>
      <w:tr w:rsidR="00025B8E">
        <w:trPr>
          <w:trHeight w:val="2821"/>
        </w:trPr>
        <w:tc>
          <w:tcPr>
            <w:tcW w:w="4644" w:type="dxa"/>
            <w:tcBorders>
              <w:top w:val="single" w:sz="4" w:space="0" w:color="000000"/>
              <w:left w:val="single" w:sz="4" w:space="0" w:color="000000"/>
              <w:bottom w:val="single" w:sz="4" w:space="0" w:color="000000"/>
              <w:right w:val="single" w:sz="4" w:space="0" w:color="000000"/>
            </w:tcBorders>
          </w:tcPr>
          <w:p w:rsidR="00025B8E" w:rsidRDefault="00C13F2C">
            <w:r>
              <w:t xml:space="preserve">Czy wykonawca będzie w stanie przedstawić </w:t>
            </w:r>
            <w:r>
              <w:rPr>
                <w:b/>
              </w:rPr>
              <w:t>zaświadczenia</w:t>
            </w:r>
            <w:r>
              <w:t xml:space="preserve"> sporządzone przez niezależne </w:t>
            </w:r>
          </w:p>
          <w:p w:rsidR="00025B8E" w:rsidRDefault="00C13F2C">
            <w:pPr>
              <w:spacing w:after="1" w:line="258" w:lineRule="auto"/>
            </w:pPr>
            <w:r>
              <w:t xml:space="preserve">jednostki, poświadczające spełnienie przez wykonawcę wymaganych </w:t>
            </w:r>
            <w:r>
              <w:rPr>
                <w:b/>
              </w:rPr>
              <w:t>norm zapewniania jakości</w:t>
            </w:r>
            <w:r>
              <w:t xml:space="preserve">, w tym w zakresie dostępności dla osób niepełnosprawnych? </w:t>
            </w:r>
          </w:p>
          <w:p w:rsidR="00025B8E" w:rsidRDefault="00C13F2C">
            <w:r>
              <w:rPr>
                <w:b/>
              </w:rPr>
              <w:t>Jeżeli nie</w:t>
            </w:r>
            <w:r>
              <w:t xml:space="preserve">, proszę wyjaśnić dlaczego, i określić, jakie inne środki dowodowe dotyczące systemu zapewniania jakości mogą zostać przedstawione: </w:t>
            </w:r>
          </w:p>
        </w:tc>
        <w:tc>
          <w:tcPr>
            <w:tcW w:w="4644" w:type="dxa"/>
            <w:tcBorders>
              <w:top w:val="single" w:sz="4" w:space="0" w:color="000000"/>
              <w:left w:val="single" w:sz="4" w:space="0" w:color="000000"/>
              <w:bottom w:val="single" w:sz="4" w:space="0" w:color="000000"/>
              <w:right w:val="single" w:sz="4" w:space="0" w:color="000000"/>
            </w:tcBorders>
          </w:tcPr>
          <w:p w:rsidR="00025B8E" w:rsidRDefault="00C13F2C">
            <w:pPr>
              <w:ind w:left="1"/>
            </w:pPr>
            <w:r>
              <w:t xml:space="preserve">[] Tak [] Nie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w:t>
            </w:r>
          </w:p>
          <w:p w:rsidR="00025B8E" w:rsidRDefault="00C13F2C">
            <w:pPr>
              <w:ind w:left="1"/>
            </w:pPr>
            <w:r>
              <w:t xml:space="preserve">[……] [……] </w:t>
            </w:r>
          </w:p>
          <w:p w:rsidR="00025B8E" w:rsidRDefault="00C13F2C">
            <w:pPr>
              <w:ind w:left="1"/>
            </w:pPr>
            <w:r>
              <w:t xml:space="preserve"> </w:t>
            </w:r>
          </w:p>
          <w:p w:rsidR="00025B8E" w:rsidRDefault="00C13F2C">
            <w:pPr>
              <w:ind w:left="1"/>
            </w:pPr>
            <w: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spacing w:after="272" w:line="247" w:lineRule="auto"/>
              <w:ind w:left="1"/>
            </w:pPr>
            <w:r>
              <w:rPr>
                <w:rFonts w:ascii="Arial" w:eastAsia="Arial" w:hAnsi="Arial" w:cs="Arial"/>
              </w:rPr>
              <w:t xml:space="preserve">Wykonawca powinien przedstawić informacje wymagane w tej sekcji jedynie w przypadku gdy zamawiający określa dane warunki udziału w postępowaniu w stosownym ogłoszeniu lub w dokumentach zamówienia (specyfikacja). </w:t>
            </w:r>
          </w:p>
          <w:p w:rsidR="00025B8E" w:rsidRDefault="00C13F2C">
            <w:pPr>
              <w:ind w:left="1"/>
            </w:pPr>
            <w:r>
              <w:rPr>
                <w:rFonts w:ascii="Arial" w:eastAsia="Arial" w:hAnsi="Arial" w:cs="Arial"/>
                <w:color w:val="212121"/>
              </w:rPr>
              <w:t xml:space="preserve">W przypadku informacji wykonawcy o braku możliwości złożenia takich dokumentów o ile ich wymagał zamawiający, powinien on dodatkowo określić przyczyny takiego stanu </w:t>
            </w:r>
          </w:p>
        </w:tc>
      </w:tr>
    </w:tbl>
    <w:p w:rsidR="00025B8E" w:rsidRDefault="00025B8E">
      <w:pPr>
        <w:spacing w:after="0"/>
        <w:ind w:left="-1406" w:right="66"/>
      </w:pPr>
    </w:p>
    <w:tbl>
      <w:tblPr>
        <w:tblStyle w:val="TableGrid"/>
        <w:tblW w:w="13937" w:type="dxa"/>
        <w:tblInd w:w="17" w:type="dxa"/>
        <w:tblCellMar>
          <w:top w:w="40" w:type="dxa"/>
          <w:left w:w="106" w:type="dxa"/>
          <w:right w:w="49" w:type="dxa"/>
        </w:tblCellMar>
        <w:tblLook w:val="04A0" w:firstRow="1" w:lastRow="0" w:firstColumn="1" w:lastColumn="0" w:noHBand="0" w:noVBand="1"/>
      </w:tblPr>
      <w:tblGrid>
        <w:gridCol w:w="4645"/>
        <w:gridCol w:w="4647"/>
        <w:gridCol w:w="4645"/>
      </w:tblGrid>
      <w:tr w:rsidR="00025B8E">
        <w:trPr>
          <w:trHeight w:val="103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color w:val="212121"/>
              </w:rPr>
              <w:t xml:space="preserve">rzeczy i jednocześnie wskazać inne środki dowodowe potwierdzające, że określony przedmiot zamówienia będzie spełniał wskazane normy jakości. </w:t>
            </w:r>
          </w:p>
        </w:tc>
      </w:tr>
      <w:tr w:rsidR="00025B8E">
        <w:trPr>
          <w:trHeight w:val="7629"/>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lastRenderedPageBreak/>
              <w:t xml:space="preserve">Czy wykonawca będzie w stanie przedstawić </w:t>
            </w:r>
            <w:r>
              <w:rPr>
                <w:b/>
              </w:rPr>
              <w:t>zaświadczenia</w:t>
            </w:r>
            <w:r>
              <w:t xml:space="preserve"> sporządzone przez niezależne </w:t>
            </w:r>
          </w:p>
          <w:p w:rsidR="00025B8E" w:rsidRDefault="00C13F2C">
            <w:pPr>
              <w:spacing w:after="1" w:line="258" w:lineRule="auto"/>
              <w:ind w:left="2" w:right="10"/>
            </w:pPr>
            <w:r>
              <w:t xml:space="preserve">jednostki, poświadczające spełnienie przez wykonawcę wymogów określonych </w:t>
            </w:r>
            <w:r>
              <w:rPr>
                <w:b/>
              </w:rPr>
              <w:t>systemów lub norm zarządzania środowiskowego</w:t>
            </w:r>
            <w:r>
              <w:t xml:space="preserve">? </w:t>
            </w:r>
          </w:p>
          <w:p w:rsidR="00025B8E" w:rsidRDefault="00C13F2C">
            <w:pPr>
              <w:spacing w:after="1" w:line="258" w:lineRule="auto"/>
              <w:ind w:left="2"/>
            </w:pPr>
            <w:r>
              <w:rPr>
                <w:b/>
              </w:rPr>
              <w:t>Jeżeli nie</w:t>
            </w:r>
            <w:r>
              <w:t xml:space="preserve">, proszę wyjaśnić dlaczego, i określić, jakie inne środki dowodowe dotyczące </w:t>
            </w:r>
            <w:r>
              <w:rPr>
                <w:b/>
              </w:rPr>
              <w:t>systemów lub norm zarządzania środowiskowego</w:t>
            </w:r>
            <w:r>
              <w:t xml:space="preserve"> mogą zostać przedstawione: </w:t>
            </w:r>
          </w:p>
          <w:p w:rsidR="00025B8E" w:rsidRDefault="00C13F2C">
            <w:pPr>
              <w:ind w:left="2"/>
            </w:pPr>
            <w:r>
              <w:t xml:space="preserve">Jeżeli odnośna dokumentacja jest dostępna w formie elektronicznej, proszę wskazać: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Tak [] Nie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(adres internetowy, wydający urząd lub organ, dokładne dane referencyjne dokumentacji): </w:t>
            </w:r>
          </w:p>
          <w:p w:rsidR="00025B8E" w:rsidRDefault="00C13F2C">
            <w:pPr>
              <w:ind w:left="2"/>
            </w:pPr>
            <w:r>
              <w:t xml:space="preserve">[……][……][……] </w:t>
            </w:r>
          </w:p>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277" w:line="241" w:lineRule="auto"/>
              <w:ind w:right="26"/>
            </w:pPr>
            <w:r>
              <w:rPr>
                <w:rFonts w:ascii="Arial" w:eastAsia="Arial" w:hAnsi="Arial" w:cs="Arial"/>
              </w:rPr>
              <w:t xml:space="preserve">W tym miejscu formularza wykonawca składa oświadczenie dotyczące posiadania i możliwości przedłożenia zamawiającemu określonego zaświadczenia potwierdzającego spełnienie przez wykonawcę wymagań określonych systemów lub norm zarządzania środowiskowego. W przypadku braku możliwości przedłożenia takich dokumentów wykonawca ma obowiązek wskazać powody takiego stanu rzeczy i przywołać inne środki dowodowe w tym zakresie. </w:t>
            </w:r>
          </w:p>
          <w:p w:rsidR="00025B8E" w:rsidRDefault="00C13F2C">
            <w:pPr>
              <w:spacing w:after="27" w:line="246" w:lineRule="auto"/>
              <w:ind w:right="66"/>
            </w:pPr>
            <w:r>
              <w:rPr>
                <w:rFonts w:ascii="Arial" w:eastAsia="Arial" w:hAnsi="Arial" w:cs="Arial"/>
                <w:color w:val="212121"/>
              </w:rPr>
              <w:t xml:space="preserve">Zgodnie z rozporządzeniem w sprawie EMAS system zarządzania środowiskowego oznacza część ogólnego systemu zarządzania, która obejmuje strukturę organizacyjną, czynności planowania, zakres odpowiedzialności, praktyki, procedury, procesy i  zasoby służące rozwijaniu, wdrażaniu, osiąganiu, przeglądowi i  utrzymaniu polityki środowiskowej oraz zarządzaniu aspektami środowiskowymi. Oznacza to innymi słowy system zarządzania organizacją, którego celem jest zapobieganie lub ograniczanie negatywnego wpływu </w:t>
            </w:r>
          </w:p>
          <w:p w:rsidR="00025B8E" w:rsidRDefault="00C13F2C">
            <w:r>
              <w:rPr>
                <w:rFonts w:ascii="Arial" w:eastAsia="Arial" w:hAnsi="Arial" w:cs="Arial"/>
                <w:color w:val="212121"/>
              </w:rPr>
              <w:t xml:space="preserve">działalności tej organizacji na środowisko; nie może być więc utożsamiane z systemem zarządzania środowiskiem, które jest pojęciem szerszym i definiowane jest </w:t>
            </w:r>
          </w:p>
        </w:tc>
      </w:tr>
      <w:tr w:rsidR="00025B8E">
        <w:trPr>
          <w:trHeight w:val="516"/>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color w:val="212121"/>
              </w:rPr>
              <w:t xml:space="preserve">najczęściej jako </w:t>
            </w:r>
            <w:hyperlink r:id="rId90">
              <w:r>
                <w:rPr>
                  <w:rFonts w:ascii="Arial" w:eastAsia="Arial" w:hAnsi="Arial" w:cs="Arial"/>
                </w:rPr>
                <w:t>zarządzanie</w:t>
              </w:r>
            </w:hyperlink>
            <w:hyperlink r:id="rId91">
              <w:r>
                <w:rPr>
                  <w:rFonts w:ascii="Arial" w:eastAsia="Arial" w:hAnsi="Arial" w:cs="Arial"/>
                  <w:color w:val="212121"/>
                </w:rPr>
                <w:t xml:space="preserve"> </w:t>
              </w:r>
            </w:hyperlink>
            <w:r>
              <w:rPr>
                <w:rFonts w:ascii="Arial" w:eastAsia="Arial" w:hAnsi="Arial" w:cs="Arial"/>
                <w:color w:val="212121"/>
              </w:rPr>
              <w:t>użytkowaniem, ochroną i kształtowaniem</w:t>
            </w:r>
            <w:hyperlink r:id="rId92">
              <w:r>
                <w:rPr>
                  <w:rFonts w:ascii="Arial" w:eastAsia="Arial" w:hAnsi="Arial" w:cs="Arial"/>
                  <w:color w:val="212121"/>
                </w:rPr>
                <w:t xml:space="preserve"> </w:t>
              </w:r>
            </w:hyperlink>
            <w:hyperlink r:id="rId93">
              <w:r>
                <w:rPr>
                  <w:rFonts w:ascii="Arial" w:eastAsia="Arial" w:hAnsi="Arial" w:cs="Arial"/>
                </w:rPr>
                <w:t>środowiska</w:t>
              </w:r>
            </w:hyperlink>
            <w:hyperlink r:id="rId94">
              <w:r>
                <w:rPr>
                  <w:rFonts w:ascii="Arial" w:eastAsia="Arial" w:hAnsi="Arial" w:cs="Arial"/>
                </w:rPr>
                <w:t>.</w:t>
              </w:r>
            </w:hyperlink>
            <w:r>
              <w:rPr>
                <w:rFonts w:ascii="Arial" w:eastAsia="Arial" w:hAnsi="Arial" w:cs="Arial"/>
              </w:rPr>
              <w:t xml:space="preserve"> </w:t>
            </w:r>
          </w:p>
        </w:tc>
      </w:tr>
    </w:tbl>
    <w:p w:rsidR="00025B8E" w:rsidRDefault="00C13F2C">
      <w:pPr>
        <w:spacing w:after="0"/>
        <w:ind w:left="12"/>
      </w:pPr>
      <w:r>
        <w:rPr>
          <w:rFonts w:ascii="Arial" w:eastAsia="Arial" w:hAnsi="Arial" w:cs="Arial"/>
        </w:rPr>
        <w:t xml:space="preserve"> </w:t>
      </w:r>
    </w:p>
    <w:p w:rsidR="00025B8E" w:rsidRDefault="00C13F2C">
      <w:pPr>
        <w:spacing w:after="0"/>
        <w:ind w:left="12"/>
        <w:jc w:val="both"/>
      </w:pPr>
      <w:r>
        <w:rPr>
          <w:rFonts w:ascii="Arial" w:eastAsia="Arial" w:hAnsi="Arial" w:cs="Arial"/>
        </w:rPr>
        <w:t xml:space="preserve"> </w:t>
      </w:r>
      <w:r>
        <w:rPr>
          <w:rFonts w:ascii="Arial" w:eastAsia="Arial" w:hAnsi="Arial" w:cs="Arial"/>
        </w:rPr>
        <w:tab/>
        <w:t xml:space="preserve"> </w:t>
      </w:r>
      <w:r>
        <w:br w:type="page"/>
      </w:r>
    </w:p>
    <w:p w:rsidR="00025B8E" w:rsidRDefault="00C13F2C">
      <w:pPr>
        <w:pStyle w:val="Nagwek2"/>
        <w:spacing w:after="364"/>
        <w:ind w:left="18" w:right="3"/>
      </w:pPr>
      <w:r>
        <w:lastRenderedPageBreak/>
        <w:t xml:space="preserve">Część V: Ograniczanie liczby kwalifikujących się kandydatów </w:t>
      </w:r>
    </w:p>
    <w:p w:rsidR="00025B8E" w:rsidRDefault="00C13F2C">
      <w:pPr>
        <w:pBdr>
          <w:top w:val="single" w:sz="4" w:space="0" w:color="000000"/>
          <w:left w:val="single" w:sz="4" w:space="0" w:color="000000"/>
          <w:bottom w:val="single" w:sz="4" w:space="0" w:color="000000"/>
          <w:right w:val="single" w:sz="4" w:space="0" w:color="000000"/>
        </w:pBdr>
        <w:shd w:val="clear" w:color="auto" w:fill="BFBFBF"/>
        <w:spacing w:after="0"/>
        <w:ind w:left="7" w:hanging="10"/>
      </w:pPr>
      <w:r>
        <w:rPr>
          <w:b/>
        </w:rPr>
        <w:t xml:space="preserve">Wykonawca powinien przedstawić informacje jedynie w przypadku gdy instytucja zamawiająca lub podmiot zamawiający określiły obiektywne i niedyskryminacyjne kryteria lub zasady, które mają być stosowane w celu ograniczenia liczby kandydatów, którzy zostaną zaproszeni do złożenia ofert lub prowadzenia dialogu. Te informacje, którym mogą towarzyszyć wymogi dotyczące (rodzajów) zaświadczeń lub rodzajów dowodów w formie dokumentów, które ewentualnie należy przedstawić, określono w stosownym ogłoszeniu lub w dokumentach zamówienia, o których mowa w ogłoszeniu. </w:t>
      </w:r>
    </w:p>
    <w:p w:rsidR="00025B8E" w:rsidRDefault="00C13F2C">
      <w:pPr>
        <w:pBdr>
          <w:top w:val="single" w:sz="4" w:space="0" w:color="000000"/>
          <w:left w:val="single" w:sz="4" w:space="0" w:color="000000"/>
          <w:bottom w:val="single" w:sz="4" w:space="0" w:color="000000"/>
          <w:right w:val="single" w:sz="4" w:space="0" w:color="000000"/>
        </w:pBdr>
        <w:shd w:val="clear" w:color="auto" w:fill="BFBFBF"/>
        <w:spacing w:after="188"/>
        <w:ind w:left="7" w:hanging="10"/>
      </w:pPr>
      <w:r>
        <w:rPr>
          <w:b/>
        </w:rPr>
        <w:t xml:space="preserve">Dotyczy jedynie procedury ograniczonej, procedury konkurencyjnej z negocjacjami, dialogu konkurencyjnego i partnerstwa innowacyjnego: </w:t>
      </w:r>
    </w:p>
    <w:p w:rsidR="00025B8E" w:rsidRDefault="00C13F2C">
      <w:pPr>
        <w:spacing w:after="0"/>
        <w:ind w:left="12"/>
      </w:pPr>
      <w:r>
        <w:rPr>
          <w:b/>
        </w:rPr>
        <w:t xml:space="preserve">Wykonawca oświadcza, że: </w:t>
      </w:r>
    </w:p>
    <w:tbl>
      <w:tblPr>
        <w:tblStyle w:val="TableGrid"/>
        <w:tblW w:w="13937" w:type="dxa"/>
        <w:tblInd w:w="17" w:type="dxa"/>
        <w:tblCellMar>
          <w:top w:w="41" w:type="dxa"/>
          <w:left w:w="106" w:type="dxa"/>
          <w:right w:w="67" w:type="dxa"/>
        </w:tblCellMar>
        <w:tblLook w:val="04A0" w:firstRow="1" w:lastRow="0" w:firstColumn="1" w:lastColumn="0" w:noHBand="0" w:noVBand="1"/>
      </w:tblPr>
      <w:tblGrid>
        <w:gridCol w:w="4645"/>
        <w:gridCol w:w="4647"/>
        <w:gridCol w:w="4645"/>
      </w:tblGrid>
      <w:tr w:rsidR="00025B8E">
        <w:trPr>
          <w:trHeight w:val="458"/>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Ograniczanie liczby kandydatów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rPr>
                <w:b/>
              </w:rPr>
              <w:t xml:space="preserve">Odpowiedź: </w:t>
            </w:r>
          </w:p>
        </w:tc>
        <w:tc>
          <w:tcPr>
            <w:tcW w:w="4645" w:type="dxa"/>
            <w:vMerge w:val="restart"/>
            <w:tcBorders>
              <w:top w:val="single" w:sz="4" w:space="0" w:color="000000"/>
              <w:left w:val="single" w:sz="4" w:space="0" w:color="000000"/>
              <w:bottom w:val="single" w:sz="4" w:space="0" w:color="000000"/>
              <w:right w:val="single" w:sz="4" w:space="0" w:color="000000"/>
            </w:tcBorders>
          </w:tcPr>
          <w:p w:rsidR="00025B8E" w:rsidRDefault="00C13F2C">
            <w:pPr>
              <w:spacing w:line="296" w:lineRule="auto"/>
              <w:ind w:right="110"/>
            </w:pPr>
            <w:r>
              <w:rPr>
                <w:rFonts w:ascii="Arial" w:eastAsia="Arial" w:hAnsi="Arial" w:cs="Arial"/>
              </w:rPr>
              <w:t xml:space="preserve">Ta część formularza dotyczy kryteriów selekcji, o których mowa w art. 51 ust. 2, art. 57 ust. 3, art. 60d ust. 2 i art. 73e ust. 1 ustawy Pzp.  W myśl tych przepisów, w przypadku trybów: </w:t>
            </w:r>
          </w:p>
          <w:p w:rsidR="00025B8E" w:rsidRDefault="00C13F2C">
            <w:pPr>
              <w:spacing w:after="156" w:line="264" w:lineRule="auto"/>
            </w:pPr>
            <w:r>
              <w:rPr>
                <w:rFonts w:ascii="Arial" w:eastAsia="Arial" w:hAnsi="Arial" w:cs="Arial"/>
              </w:rPr>
              <w:t xml:space="preserve">przetargu ograniczonego, negocjacji z ogłoszeniem, dialogu konkurencyjnego i partnerstwa innowacyjnego, jeżeli liczba wykonawców, którzy spełniają warunki udziału w postępowaniu, jest większa niż określona w ogłoszeniu, zamawiający zaprasza do składania ofert wykonawców wyłonionych na podstawie obiektywnych i niedyskryminacyjnych kryteriów zwanych kryteriami selekcji. </w:t>
            </w:r>
          </w:p>
          <w:p w:rsidR="00025B8E" w:rsidRDefault="00C13F2C">
            <w:r>
              <w:rPr>
                <w:rFonts w:ascii="Arial" w:eastAsia="Arial" w:hAnsi="Arial" w:cs="Arial"/>
              </w:rPr>
              <w:t xml:space="preserve">Wykonawca powinien przedstawić informacje wymagane w tej sekcji jedynie w przypadku </w:t>
            </w:r>
          </w:p>
        </w:tc>
      </w:tr>
      <w:tr w:rsidR="00025B8E">
        <w:trPr>
          <w:trHeight w:val="4513"/>
        </w:trPr>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 w:line="258" w:lineRule="auto"/>
              <w:ind w:left="2"/>
            </w:pPr>
            <w:r>
              <w:t xml:space="preserve">W następujący sposób </w:t>
            </w:r>
            <w:r>
              <w:rPr>
                <w:b/>
              </w:rPr>
              <w:t>spełnia</w:t>
            </w:r>
            <w:r>
              <w:t xml:space="preserve"> obiektywne i niedyskryminacyjne kryteria lub zasady, które mają być stosowane w celu ograniczenia liczby kandydatów: </w:t>
            </w:r>
          </w:p>
          <w:p w:rsidR="00025B8E" w:rsidRDefault="00C13F2C">
            <w:pPr>
              <w:spacing w:line="258" w:lineRule="auto"/>
              <w:ind w:left="2" w:right="24"/>
            </w:pPr>
            <w:r>
              <w:t xml:space="preserve">W przypadku gdy wymagane są określone zaświadczenia lub inne rodzaje dowodów w formie dokumentów, proszę wskazać dla </w:t>
            </w:r>
            <w:r>
              <w:rPr>
                <w:b/>
              </w:rPr>
              <w:t>każdego</w:t>
            </w:r>
            <w:r>
              <w:t xml:space="preserve"> z nich, czy wykonawca posiada wymagane dokumenty: </w:t>
            </w:r>
          </w:p>
          <w:p w:rsidR="00025B8E" w:rsidRDefault="00C13F2C">
            <w:pPr>
              <w:ind w:left="2"/>
            </w:pPr>
            <w:r>
              <w:t>Jeżeli niektóre z tych zaświadczeń lub rodzajów dowodów w formie dokumentów są dostępne w postaci elektronicznej (</w:t>
            </w:r>
            <w:r>
              <w:rPr>
                <w:rFonts w:ascii="Arial" w:eastAsia="Arial" w:hAnsi="Arial" w:cs="Arial"/>
                <w:sz w:val="20"/>
                <w:vertAlign w:val="superscript"/>
              </w:rPr>
              <w:footnoteReference w:id="38"/>
            </w:r>
            <w:r>
              <w:t xml:space="preserve">), proszę wskazać dla </w:t>
            </w:r>
            <w:r>
              <w:rPr>
                <w:b/>
              </w:rPr>
              <w:t>każdego</w:t>
            </w:r>
            <w:r>
              <w:t xml:space="preserve"> z nich:</w:t>
            </w:r>
            <w:r>
              <w:rPr>
                <w:b/>
              </w:rPr>
              <w:t xml:space="preserve"> </w:t>
            </w:r>
          </w:p>
        </w:tc>
        <w:tc>
          <w:tcPr>
            <w:tcW w:w="4647" w:type="dxa"/>
            <w:tcBorders>
              <w:top w:val="single" w:sz="4" w:space="0" w:color="000000"/>
              <w:left w:val="single" w:sz="4" w:space="0" w:color="000000"/>
              <w:bottom w:val="single" w:sz="4" w:space="0" w:color="000000"/>
              <w:right w:val="single" w:sz="4" w:space="0" w:color="000000"/>
            </w:tcBorders>
          </w:tcPr>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spacing w:after="17"/>
              <w:ind w:left="2"/>
            </w:pPr>
            <w:r>
              <w:t>[] Tak [] Nie (</w:t>
            </w:r>
            <w:r>
              <w:rPr>
                <w:rFonts w:ascii="Arial" w:eastAsia="Arial" w:hAnsi="Arial" w:cs="Arial"/>
                <w:sz w:val="20"/>
                <w:vertAlign w:val="superscript"/>
              </w:rPr>
              <w:footnoteReference w:id="39"/>
            </w:r>
            <w:r>
              <w:t xml:space="preserve">) </w:t>
            </w:r>
          </w:p>
          <w:p w:rsidR="00025B8E" w:rsidRDefault="00C13F2C">
            <w:pPr>
              <w:ind w:left="2"/>
            </w:pPr>
            <w:r>
              <w:t xml:space="preserve"> </w:t>
            </w:r>
          </w:p>
          <w:p w:rsidR="00025B8E" w:rsidRDefault="00C13F2C">
            <w:pPr>
              <w:ind w:left="2"/>
            </w:pPr>
            <w:r>
              <w:t xml:space="preserve"> </w:t>
            </w:r>
          </w:p>
          <w:p w:rsidR="00025B8E" w:rsidRDefault="00C13F2C">
            <w:pPr>
              <w:ind w:left="2"/>
            </w:pPr>
            <w:r>
              <w:t xml:space="preserve"> </w:t>
            </w:r>
          </w:p>
          <w:p w:rsidR="00025B8E" w:rsidRDefault="00C13F2C">
            <w:pPr>
              <w:spacing w:after="3"/>
              <w:ind w:left="2"/>
            </w:pPr>
            <w:r>
              <w:t xml:space="preserve">(adres internetowy, wydający urząd lub organ, dokładne dane referencyjne dokumentacji): </w:t>
            </w:r>
          </w:p>
          <w:p w:rsidR="00025B8E" w:rsidRDefault="00C13F2C">
            <w:pPr>
              <w:ind w:left="2"/>
            </w:pPr>
            <w:r>
              <w:t>[……][……][……] (</w:t>
            </w:r>
            <w:r>
              <w:rPr>
                <w:rFonts w:ascii="Arial" w:eastAsia="Arial" w:hAnsi="Arial" w:cs="Arial"/>
                <w:sz w:val="20"/>
                <w:vertAlign w:val="superscript"/>
              </w:rPr>
              <w:footnoteReference w:id="40"/>
            </w:r>
            <w:r>
              <w:t>)</w:t>
            </w:r>
            <w:r>
              <w:rPr>
                <w:b/>
              </w:rPr>
              <w:t xml:space="preserve"> </w:t>
            </w:r>
          </w:p>
        </w:tc>
        <w:tc>
          <w:tcPr>
            <w:tcW w:w="0" w:type="auto"/>
            <w:vMerge/>
            <w:tcBorders>
              <w:top w:val="nil"/>
              <w:left w:val="single" w:sz="4" w:space="0" w:color="000000"/>
              <w:bottom w:val="single" w:sz="4" w:space="0" w:color="000000"/>
              <w:right w:val="single" w:sz="4" w:space="0" w:color="000000"/>
            </w:tcBorders>
          </w:tcPr>
          <w:p w:rsidR="00025B8E" w:rsidRDefault="00025B8E"/>
        </w:tc>
      </w:tr>
      <w:tr w:rsidR="00025B8E">
        <w:trPr>
          <w:trHeight w:val="2242"/>
        </w:trPr>
        <w:tc>
          <w:tcPr>
            <w:tcW w:w="4645" w:type="dxa"/>
            <w:tcBorders>
              <w:top w:val="single" w:sz="4" w:space="0" w:color="000000"/>
              <w:left w:val="single" w:sz="4" w:space="0" w:color="000000"/>
              <w:bottom w:val="single" w:sz="4" w:space="0" w:color="000000"/>
              <w:right w:val="single" w:sz="4" w:space="0" w:color="000000"/>
            </w:tcBorders>
          </w:tcPr>
          <w:p w:rsidR="00025B8E" w:rsidRDefault="00025B8E"/>
        </w:tc>
        <w:tc>
          <w:tcPr>
            <w:tcW w:w="4647" w:type="dxa"/>
            <w:tcBorders>
              <w:top w:val="single" w:sz="4" w:space="0" w:color="000000"/>
              <w:left w:val="single" w:sz="4" w:space="0" w:color="000000"/>
              <w:bottom w:val="single" w:sz="4" w:space="0" w:color="000000"/>
              <w:right w:val="single" w:sz="4" w:space="0" w:color="000000"/>
            </w:tcBorders>
          </w:tcPr>
          <w:p w:rsidR="00025B8E" w:rsidRDefault="00025B8E"/>
        </w:tc>
        <w:tc>
          <w:tcPr>
            <w:tcW w:w="4645" w:type="dxa"/>
            <w:tcBorders>
              <w:top w:val="single" w:sz="4" w:space="0" w:color="000000"/>
              <w:left w:val="single" w:sz="4" w:space="0" w:color="000000"/>
              <w:bottom w:val="single" w:sz="4" w:space="0" w:color="000000"/>
              <w:right w:val="single" w:sz="4" w:space="0" w:color="000000"/>
            </w:tcBorders>
          </w:tcPr>
          <w:p w:rsidR="00025B8E" w:rsidRDefault="00C13F2C">
            <w:pPr>
              <w:spacing w:after="187" w:line="266" w:lineRule="auto"/>
            </w:pPr>
            <w:r>
              <w:rPr>
                <w:rFonts w:ascii="Arial" w:eastAsia="Arial" w:hAnsi="Arial" w:cs="Arial"/>
              </w:rPr>
              <w:t xml:space="preserve">gdy zamawiający wymaga danych warunków udziału w postępowaniu w stosownym ogłoszeniu lub w dokumentach zamówienia (specyfikacja). </w:t>
            </w:r>
          </w:p>
          <w:p w:rsidR="00025B8E" w:rsidRDefault="00C13F2C">
            <w:r>
              <w:rPr>
                <w:rFonts w:ascii="Arial" w:eastAsia="Arial" w:hAnsi="Arial" w:cs="Arial"/>
              </w:rPr>
              <w:t xml:space="preserve">Należy jasno wskazać, do którego z kryteriów odnosi się odpowiedź, powtarzając tę część tyle razy, ile to konieczne. </w:t>
            </w:r>
          </w:p>
        </w:tc>
      </w:tr>
    </w:tbl>
    <w:p w:rsidR="00025B8E" w:rsidRDefault="00C13F2C">
      <w:pPr>
        <w:spacing w:after="0"/>
        <w:ind w:left="12"/>
      </w:pPr>
      <w:r>
        <w:rPr>
          <w:rFonts w:ascii="Arial" w:eastAsia="Arial" w:hAnsi="Arial" w:cs="Arial"/>
        </w:rPr>
        <w:t xml:space="preserve"> </w:t>
      </w:r>
    </w:p>
    <w:p w:rsidR="00025B8E" w:rsidRDefault="00C13F2C">
      <w:pPr>
        <w:spacing w:after="0"/>
        <w:ind w:left="12"/>
        <w:jc w:val="both"/>
      </w:pPr>
      <w:r>
        <w:rPr>
          <w:rFonts w:ascii="Arial" w:eastAsia="Arial" w:hAnsi="Arial" w:cs="Arial"/>
        </w:rPr>
        <w:t xml:space="preserve"> </w:t>
      </w:r>
      <w:r>
        <w:rPr>
          <w:rFonts w:ascii="Arial" w:eastAsia="Arial" w:hAnsi="Arial" w:cs="Arial"/>
        </w:rPr>
        <w:tab/>
        <w:t xml:space="preserve"> </w:t>
      </w:r>
      <w:r>
        <w:br w:type="page"/>
      </w:r>
    </w:p>
    <w:p w:rsidR="00025B8E" w:rsidRDefault="00C13F2C">
      <w:pPr>
        <w:pStyle w:val="Nagwek2"/>
        <w:ind w:left="18"/>
      </w:pPr>
      <w:r>
        <w:lastRenderedPageBreak/>
        <w:t xml:space="preserve">Część VI: Oświadczenia końcowe </w:t>
      </w:r>
    </w:p>
    <w:p w:rsidR="00025B8E" w:rsidRDefault="00C13F2C">
      <w:pPr>
        <w:spacing w:after="163"/>
        <w:ind w:left="7" w:hanging="10"/>
      </w:pPr>
      <w:r>
        <w:rPr>
          <w:i/>
        </w:rPr>
        <w:t xml:space="preserve">Niżej podpisany(-a)(-i) oficjalnie oświadcza(-ją), że informacje podane powyżej w częściach II–V są dokładne i prawidłowe oraz że zostały przedstawione z pełną świadomością konsekwencji poważnego wprowadzenia w błąd. </w:t>
      </w:r>
    </w:p>
    <w:p w:rsidR="00025B8E" w:rsidRDefault="00C13F2C">
      <w:pPr>
        <w:spacing w:after="163"/>
        <w:ind w:left="7" w:hanging="10"/>
      </w:pPr>
      <w:r>
        <w:rPr>
          <w:i/>
        </w:rPr>
        <w:t xml:space="preserve">Niżej podpisany(-a)(-i) oficjalnie oświadcza(-ją), że jest (są) w stanie, na żądanie i bez zwłoki, przedstawić zaświadczenia i inne rodzaje dowodów w formie dokumentów, z wyjątkiem przypadków, w których: </w:t>
      </w:r>
    </w:p>
    <w:p w:rsidR="00025B8E" w:rsidRDefault="00C13F2C">
      <w:pPr>
        <w:numPr>
          <w:ilvl w:val="0"/>
          <w:numId w:val="7"/>
        </w:numPr>
        <w:spacing w:after="163"/>
        <w:ind w:hanging="230"/>
      </w:pPr>
      <w:r>
        <w:rPr>
          <w:i/>
        </w:rPr>
        <w:t xml:space="preserve">instytucja zamawiająca lub podmiot zamawiający ma możliwość uzyskania odpowiednich dokumentów potwierdzających bezpośrednio za pomocą bezpłatnej krajowej bazy danych w dowolnym państwie członkowskim </w:t>
      </w:r>
      <w:r>
        <w:t>(</w:t>
      </w:r>
      <w:r>
        <w:rPr>
          <w:rFonts w:ascii="Arial" w:eastAsia="Arial" w:hAnsi="Arial" w:cs="Arial"/>
          <w:sz w:val="20"/>
          <w:vertAlign w:val="superscript"/>
        </w:rPr>
        <w:footnoteReference w:id="41"/>
      </w:r>
      <w:r>
        <w:t>)</w:t>
      </w:r>
      <w:r>
        <w:rPr>
          <w:i/>
        </w:rPr>
        <w:t xml:space="preserve">, lub  </w:t>
      </w:r>
    </w:p>
    <w:p w:rsidR="00025B8E" w:rsidRDefault="00C13F2C">
      <w:pPr>
        <w:numPr>
          <w:ilvl w:val="0"/>
          <w:numId w:val="7"/>
        </w:numPr>
        <w:spacing w:after="163"/>
        <w:ind w:hanging="230"/>
      </w:pPr>
      <w:r>
        <w:rPr>
          <w:i/>
        </w:rPr>
        <w:t xml:space="preserve">najpóźniej od dnia 18 kwietnia 2018 r. </w:t>
      </w:r>
      <w:r>
        <w:t>(</w:t>
      </w:r>
      <w:r>
        <w:rPr>
          <w:rFonts w:ascii="Arial" w:eastAsia="Arial" w:hAnsi="Arial" w:cs="Arial"/>
          <w:sz w:val="20"/>
          <w:vertAlign w:val="superscript"/>
        </w:rPr>
        <w:footnoteReference w:id="42"/>
      </w:r>
      <w:r>
        <w:t>)</w:t>
      </w:r>
      <w:r>
        <w:rPr>
          <w:i/>
        </w:rPr>
        <w:t>, instytucja zamawiająca lub podmiot zamawiający już posiada odpowiednią dokumentację</w:t>
      </w:r>
      <w:r>
        <w:t>.</w:t>
      </w:r>
      <w:r>
        <w:rPr>
          <w:i/>
        </w:rPr>
        <w:t xml:space="preserve"> </w:t>
      </w:r>
    </w:p>
    <w:p w:rsidR="00025B8E" w:rsidRDefault="00C13F2C">
      <w:pPr>
        <w:spacing w:after="163"/>
        <w:ind w:left="7" w:hanging="10"/>
      </w:pPr>
      <w:r>
        <w:rPr>
          <w:i/>
        </w:rPr>
        <w:t xml:space="preserve">Niżej podpisany(-a)(-i) oficjalnie wyraża(-ją) zgodę na to, aby [wskazać instytucję zamawiającą lub podmiot zamawiający określone w części I, sekcja A] uzyskał(-a)(-o) dostęp do dokumentów potwierdzających informacje, które zostały przedstawione w [wskazać część/sekcję/punkt(-y), których to dotyczy] niniejszego jednolitego europejskiego dokumentu zamówienia, na potrzeby </w:t>
      </w:r>
      <w:r>
        <w:t xml:space="preserve">[określić postępowanie o udzielenie zamówienia: (skrócony opis, adres publikacyjny w </w:t>
      </w:r>
      <w:r>
        <w:rPr>
          <w:i/>
        </w:rPr>
        <w:t>Dzienniku Urzędowym Unii Europejskiej</w:t>
      </w:r>
      <w:r>
        <w:t>, numer referencyjny)].</w:t>
      </w:r>
      <w:r>
        <w:rPr>
          <w:i/>
        </w:rPr>
        <w:t xml:space="preserve">  </w:t>
      </w:r>
    </w:p>
    <w:p w:rsidR="00025B8E" w:rsidRDefault="00C13F2C">
      <w:pPr>
        <w:spacing w:after="158"/>
        <w:ind w:left="12"/>
      </w:pPr>
      <w:r>
        <w:t xml:space="preserve"> </w:t>
      </w:r>
    </w:p>
    <w:p w:rsidR="00025B8E" w:rsidRDefault="00C13F2C">
      <w:pPr>
        <w:spacing w:after="375"/>
        <w:ind w:left="12"/>
      </w:pPr>
      <w:r>
        <w:t xml:space="preserve">Data, miejscowość oraz – jeżeli jest to wymagane lub konieczne – podpis(-y): [……] </w:t>
      </w:r>
    </w:p>
    <w:p w:rsidR="00025B8E" w:rsidRDefault="00C13F2C">
      <w:pPr>
        <w:pBdr>
          <w:top w:val="single" w:sz="4" w:space="0" w:color="000000"/>
          <w:left w:val="single" w:sz="4" w:space="0" w:color="000000"/>
          <w:bottom w:val="single" w:sz="4" w:space="0" w:color="000000"/>
          <w:right w:val="single" w:sz="4" w:space="0" w:color="000000"/>
        </w:pBdr>
        <w:spacing w:after="124" w:line="326" w:lineRule="auto"/>
        <w:ind w:left="120" w:right="96" w:hanging="10"/>
        <w:jc w:val="both"/>
      </w:pPr>
      <w:r>
        <w:rPr>
          <w:rFonts w:ascii="Arial" w:eastAsia="Arial" w:hAnsi="Arial" w:cs="Arial"/>
        </w:rPr>
        <w:t xml:space="preserve">Oświadczenia końcowe zawarte w tej części formularza mają istotne znaczenie dla oceny wykonawcy. Stanowią one niejako podsumowanie całej treści formularza i złożonych w nim oświadczeń. Dodatkowo złożenie tych szczegółowych, końcowych oświadczeń ma znaczenie z punktu widzenia odpowiedzialności podmiotów je składających za treść szczegółowych oświadczeń zawartych w formularzu. Jednocześnie też oświadczenia końcowe zwracają uwagę na konieczność korzystania przez zamawiającego z bezpłatnych, ogólnodostępnych baz danych oraz dotyczą wyrażenia zgody przez wykonawcę na możliwość korzystania przez zamawiającego z informacji zawartych w formularzu. </w:t>
      </w:r>
    </w:p>
    <w:p w:rsidR="00025B8E" w:rsidRDefault="00C13F2C">
      <w:pPr>
        <w:pBdr>
          <w:top w:val="single" w:sz="4" w:space="0" w:color="000000"/>
          <w:left w:val="single" w:sz="4" w:space="0" w:color="000000"/>
          <w:bottom w:val="single" w:sz="4" w:space="0" w:color="000000"/>
          <w:right w:val="single" w:sz="4" w:space="0" w:color="000000"/>
        </w:pBdr>
        <w:spacing w:after="225" w:line="326" w:lineRule="auto"/>
        <w:ind w:left="120" w:right="96" w:hanging="10"/>
        <w:jc w:val="both"/>
      </w:pPr>
      <w:r>
        <w:rPr>
          <w:rFonts w:ascii="Arial" w:eastAsia="Arial" w:hAnsi="Arial" w:cs="Arial"/>
        </w:rPr>
        <w:lastRenderedPageBreak/>
        <w:t xml:space="preserve">Dokument łącznie z w/w w treści formularza oświadczeniami powinien być podpisany przez wykonawcę, podmiot trzeci, podwykonawcę, odpowiednio przez tego kogo dotyczy składany formularz JEDZ. Dla skutecznego złożenia oświadczenia formularz muszą podpisać właściwe, umocowane osoby, tj. uprawnione do reprezentacji albo upoważnione na podstawie odrębnie udzielonego pełnomocnictwa. W przypadku formularza składanego przez wykonawców wspólnie ubiegających się o udzielenie zamówienia formularz powinien podpisać każdy z wykonawców, który składa dany formularz.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158"/>
        <w:ind w:left="12"/>
      </w:pPr>
      <w:r>
        <w:rPr>
          <w:rFonts w:ascii="Arial" w:eastAsia="Arial" w:hAnsi="Arial" w:cs="Arial"/>
        </w:rPr>
        <w:t xml:space="preserve"> </w:t>
      </w:r>
    </w:p>
    <w:p w:rsidR="00025B8E" w:rsidRDefault="00C13F2C">
      <w:pPr>
        <w:spacing w:after="0"/>
        <w:ind w:left="12"/>
      </w:pPr>
      <w:r>
        <w:rPr>
          <w:rFonts w:ascii="Arial" w:eastAsia="Arial" w:hAnsi="Arial" w:cs="Arial"/>
        </w:rPr>
        <w:t xml:space="preserve"> </w:t>
      </w:r>
    </w:p>
    <w:p w:rsidR="00025B8E" w:rsidRDefault="00C13F2C">
      <w:pPr>
        <w:spacing w:after="0"/>
        <w:ind w:left="12"/>
      </w:pPr>
      <w:r>
        <w:rPr>
          <w:rFonts w:ascii="Arial" w:eastAsia="Arial" w:hAnsi="Arial" w:cs="Arial"/>
          <w:i/>
        </w:rPr>
        <w:t xml:space="preserve"> </w:t>
      </w:r>
      <w:r>
        <w:rPr>
          <w:rFonts w:ascii="Arial" w:eastAsia="Arial" w:hAnsi="Arial" w:cs="Arial"/>
          <w:i/>
        </w:rPr>
        <w:tab/>
        <w:t xml:space="preserve"> </w:t>
      </w:r>
    </w:p>
    <w:p w:rsidR="00025B8E" w:rsidRDefault="00C13F2C">
      <w:pPr>
        <w:spacing w:after="31"/>
        <w:ind w:left="7"/>
        <w:jc w:val="center"/>
      </w:pPr>
      <w:r>
        <w:rPr>
          <w:rFonts w:ascii="Arial" w:eastAsia="Arial" w:hAnsi="Arial" w:cs="Arial"/>
          <w:b/>
        </w:rPr>
        <w:t xml:space="preserve">Załącznik: </w:t>
      </w:r>
    </w:p>
    <w:p w:rsidR="00025B8E" w:rsidRDefault="00C13F2C">
      <w:pPr>
        <w:pStyle w:val="Nagwek2"/>
        <w:spacing w:after="0" w:line="259" w:lineRule="auto"/>
        <w:ind w:left="3575"/>
        <w:jc w:val="left"/>
      </w:pPr>
      <w:r>
        <w:rPr>
          <w:rFonts w:ascii="Arial" w:eastAsia="Arial" w:hAnsi="Arial" w:cs="Arial"/>
        </w:rPr>
        <w:lastRenderedPageBreak/>
        <w:t>Wykaz przestępstw, o których mowa w art. 24 ust. 1 pkt 13 ustawy</w:t>
      </w:r>
      <w:r>
        <w:rPr>
          <w:rFonts w:ascii="Arial" w:eastAsia="Arial" w:hAnsi="Arial" w:cs="Arial"/>
          <w:color w:val="2E74B5"/>
        </w:rPr>
        <w:t xml:space="preserve"> </w:t>
      </w:r>
    </w:p>
    <w:tbl>
      <w:tblPr>
        <w:tblStyle w:val="TableGrid"/>
        <w:tblW w:w="13994" w:type="dxa"/>
        <w:tblInd w:w="17" w:type="dxa"/>
        <w:tblCellMar>
          <w:top w:w="11" w:type="dxa"/>
          <w:left w:w="108" w:type="dxa"/>
          <w:right w:w="103" w:type="dxa"/>
        </w:tblCellMar>
        <w:tblLook w:val="04A0" w:firstRow="1" w:lastRow="0" w:firstColumn="1" w:lastColumn="0" w:noHBand="0" w:noVBand="1"/>
      </w:tblPr>
      <w:tblGrid>
        <w:gridCol w:w="2971"/>
        <w:gridCol w:w="6359"/>
        <w:gridCol w:w="4664"/>
      </w:tblGrid>
      <w:tr w:rsidR="00025B8E">
        <w:trPr>
          <w:trHeight w:val="384"/>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przestępstwo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brzmienie przepisu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8"/>
              <w:jc w:val="center"/>
            </w:pPr>
            <w:r>
              <w:rPr>
                <w:rFonts w:ascii="Arial" w:eastAsia="Arial" w:hAnsi="Arial" w:cs="Arial"/>
              </w:rPr>
              <w:t xml:space="preserve">rubryka formularza jednolitego dokumentu </w:t>
            </w:r>
          </w:p>
        </w:tc>
      </w:tr>
      <w:tr w:rsidR="00025B8E">
        <w:trPr>
          <w:trHeight w:val="1460"/>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98"/>
            </w:pPr>
            <w:r>
              <w:rPr>
                <w:rFonts w:ascii="Arial" w:eastAsia="Arial" w:hAnsi="Arial" w:cs="Arial"/>
              </w:rPr>
              <w:t xml:space="preserve">art. 165a Kodeksu karnego </w:t>
            </w:r>
          </w:p>
          <w:p w:rsidR="00025B8E" w:rsidRDefault="00C13F2C">
            <w:r>
              <w:rPr>
                <w:rFonts w:ascii="Arial" w:eastAsia="Arial" w:hAnsi="Arial" w:cs="Arial"/>
              </w:rPr>
              <w:t xml:space="preserve">[finansowanie terroryzmu]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b/>
                <w:sz w:val="18"/>
              </w:rPr>
              <w:t xml:space="preserve">Art. 165a </w:t>
            </w:r>
            <w:r>
              <w:rPr>
                <w:rFonts w:ascii="Arial" w:eastAsia="Arial" w:hAnsi="Arial" w:cs="Arial"/>
                <w:sz w:val="18"/>
              </w:rPr>
              <w:t xml:space="preserve">Kto gromadzi, przekazuje lub oferuje środki płatnicze, instrumenty finansowe, papiery wartościowe, wartości dewizowe, prawa majątkowe lub inne mienie ruchome lub nieruchomości w zamiarze sfinansowania przestępstwa o charakterze terrorystycznym albo udostępnienia ich zorganizowanej grupie lub związkowi mającym na celu popełnienie takiego przestępstwa lub osobie biorącej udział w takiej grupie lub związku, podlega karze pozbawienia wolności od lat 2 do 12.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3"/>
              <w:jc w:val="center"/>
            </w:pPr>
            <w:r>
              <w:rPr>
                <w:rFonts w:ascii="Arial" w:eastAsia="Arial" w:hAnsi="Arial" w:cs="Arial"/>
              </w:rPr>
              <w:t xml:space="preserve">III.A pkt 5 </w:t>
            </w:r>
          </w:p>
        </w:tc>
      </w:tr>
      <w:tr w:rsidR="00025B8E">
        <w:trPr>
          <w:trHeight w:val="6635"/>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45" w:line="238" w:lineRule="auto"/>
            </w:pPr>
            <w:r>
              <w:rPr>
                <w:rFonts w:ascii="Arial" w:eastAsia="Arial" w:hAnsi="Arial" w:cs="Arial"/>
              </w:rPr>
              <w:t xml:space="preserve">art. 181-188 Kodeksu karnego </w:t>
            </w:r>
          </w:p>
          <w:p w:rsidR="00025B8E" w:rsidRDefault="00C13F2C">
            <w:r>
              <w:rPr>
                <w:rFonts w:ascii="Arial" w:eastAsia="Arial" w:hAnsi="Arial" w:cs="Arial"/>
              </w:rPr>
              <w:t xml:space="preserve">[przestępstwa przeciwko środowisku]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60" w:lineRule="auto"/>
              <w:ind w:right="5"/>
            </w:pPr>
            <w:r>
              <w:rPr>
                <w:rFonts w:ascii="Arial" w:eastAsia="Arial" w:hAnsi="Arial" w:cs="Arial"/>
                <w:b/>
                <w:sz w:val="18"/>
              </w:rPr>
              <w:t>Art. 181.</w:t>
            </w:r>
            <w:r>
              <w:rPr>
                <w:rFonts w:ascii="Arial" w:eastAsia="Arial" w:hAnsi="Arial" w:cs="Arial"/>
                <w:sz w:val="18"/>
              </w:rPr>
              <w:t xml:space="preserve"> § 1. Kto powoduje zniszczenie w świecie roślinnym lub zwierzęcym w znacznych rozmiarach, podlega karze pozbawienia wolności od 3 miesięcy do lat 5. </w:t>
            </w:r>
          </w:p>
          <w:p w:rsidR="00025B8E" w:rsidRDefault="00C13F2C">
            <w:pPr>
              <w:ind w:left="709"/>
            </w:pPr>
            <w:r>
              <w:rPr>
                <w:rFonts w:ascii="Arial" w:eastAsia="Arial" w:hAnsi="Arial" w:cs="Arial"/>
                <w:sz w:val="18"/>
              </w:rPr>
              <w:t xml:space="preserve">§ 2. Kto, wbrew przepisom obowiązującym na terenie objętym </w:t>
            </w:r>
          </w:p>
          <w:p w:rsidR="00025B8E" w:rsidRDefault="00C13F2C">
            <w:pPr>
              <w:spacing w:line="257" w:lineRule="auto"/>
            </w:pPr>
            <w:r>
              <w:rPr>
                <w:rFonts w:ascii="Arial" w:eastAsia="Arial" w:hAnsi="Arial" w:cs="Arial"/>
                <w:sz w:val="18"/>
              </w:rPr>
              <w:t xml:space="preserve">ochroną, niszczy albo uszkadza rośliny lub zwierzęta powodując istotną szkodę, podlega grzywnie, karze ograniczenia wolności albo pozbawienia wolności do lat 2. </w:t>
            </w:r>
          </w:p>
          <w:p w:rsidR="00025B8E" w:rsidRDefault="00C13F2C">
            <w:pPr>
              <w:ind w:left="709"/>
            </w:pPr>
            <w:r>
              <w:rPr>
                <w:rFonts w:ascii="Arial" w:eastAsia="Arial" w:hAnsi="Arial" w:cs="Arial"/>
                <w:sz w:val="18"/>
              </w:rPr>
              <w:t xml:space="preserve">§ 3. Karze określonej w § 2 podlega także ten, kto niezależnie od </w:t>
            </w:r>
          </w:p>
          <w:p w:rsidR="00025B8E" w:rsidRDefault="00C13F2C">
            <w:pPr>
              <w:spacing w:line="276" w:lineRule="auto"/>
            </w:pPr>
            <w:r>
              <w:rPr>
                <w:rFonts w:ascii="Arial" w:eastAsia="Arial" w:hAnsi="Arial" w:cs="Arial"/>
                <w:sz w:val="18"/>
              </w:rPr>
              <w:t xml:space="preserve">miejsca czynu niszczy albo uszkadza rośliny lub zwierzęta pozostające pod ochroną gatunkową powodując istotną szkodę. </w:t>
            </w:r>
          </w:p>
          <w:p w:rsidR="00025B8E" w:rsidRDefault="00C13F2C">
            <w:pPr>
              <w:ind w:left="709"/>
            </w:pPr>
            <w:r>
              <w:rPr>
                <w:rFonts w:ascii="Arial" w:eastAsia="Arial" w:hAnsi="Arial" w:cs="Arial"/>
                <w:sz w:val="18"/>
              </w:rPr>
              <w:t xml:space="preserve">§ 4. Jeżeli sprawca czynu określonego w § 1 działa nieumyślnie, </w:t>
            </w:r>
          </w:p>
          <w:p w:rsidR="00025B8E" w:rsidRDefault="00C13F2C">
            <w:r>
              <w:rPr>
                <w:rFonts w:ascii="Arial" w:eastAsia="Arial" w:hAnsi="Arial" w:cs="Arial"/>
                <w:sz w:val="18"/>
              </w:rPr>
              <w:t xml:space="preserve">podlega grzywnie, karze ograniczenia wolności albo pozbawienia wolności do lat 2. </w:t>
            </w:r>
          </w:p>
          <w:p w:rsidR="00025B8E" w:rsidRDefault="00C13F2C">
            <w:pPr>
              <w:spacing w:after="14"/>
              <w:ind w:left="709"/>
            </w:pPr>
            <w:r>
              <w:rPr>
                <w:rFonts w:ascii="Arial" w:eastAsia="Arial" w:hAnsi="Arial" w:cs="Arial"/>
                <w:sz w:val="18"/>
              </w:rPr>
              <w:t xml:space="preserve">§ 5. Jeżeli sprawca czynu określonego w § 2 lub 3 działa </w:t>
            </w:r>
          </w:p>
          <w:p w:rsidR="00025B8E" w:rsidRDefault="00C13F2C">
            <w:pPr>
              <w:spacing w:after="8"/>
            </w:pPr>
            <w:r>
              <w:rPr>
                <w:rFonts w:ascii="Arial" w:eastAsia="Arial" w:hAnsi="Arial" w:cs="Arial"/>
                <w:sz w:val="18"/>
              </w:rPr>
              <w:t xml:space="preserve">nieumyślnie, podlega grzywnie albo karze ograniczenia wolności. </w:t>
            </w:r>
          </w:p>
          <w:p w:rsidR="00025B8E" w:rsidRDefault="00C13F2C">
            <w:pPr>
              <w:spacing w:line="256" w:lineRule="auto"/>
            </w:pPr>
            <w:r>
              <w:rPr>
                <w:rFonts w:ascii="Arial" w:eastAsia="Arial" w:hAnsi="Arial" w:cs="Arial"/>
                <w:b/>
                <w:sz w:val="18"/>
              </w:rPr>
              <w:t>Art. 182.</w:t>
            </w:r>
            <w:r>
              <w:rPr>
                <w:rFonts w:ascii="Arial" w:eastAsia="Arial" w:hAnsi="Arial" w:cs="Arial"/>
                <w:sz w:val="18"/>
              </w:rPr>
              <w:t xml:space="preserve"> § 1. Kto zanieczyszcza wodę, powietrze lub powierzchnię ziemi substancją albo promieniowaniem jonizującym w takiej ilości lub w takiej postaci, że może to zagrozić życiu lub zdrowiu człowieka lub spowodować istotne obniżenie jakości wody, powietrza lub powierzchni ziemi lub zniszczenie w świecie roślinnym lub zwierzęcym w znacznych rozmiarach, podlega karze pozbawienia wolności od 3 miesięcy do lat 5. </w:t>
            </w:r>
          </w:p>
          <w:p w:rsidR="00025B8E" w:rsidRDefault="00C13F2C">
            <w:pPr>
              <w:ind w:left="709"/>
            </w:pPr>
            <w:r>
              <w:rPr>
                <w:rFonts w:ascii="Arial" w:eastAsia="Arial" w:hAnsi="Arial" w:cs="Arial"/>
                <w:sz w:val="18"/>
              </w:rPr>
              <w:t xml:space="preserve">§ 2. Jeżeli sprawca czynu określonego w § 1 działa nieumyślnie, </w:t>
            </w:r>
          </w:p>
          <w:p w:rsidR="00025B8E" w:rsidRDefault="00C13F2C">
            <w:pPr>
              <w:spacing w:after="23" w:line="241" w:lineRule="auto"/>
              <w:ind w:right="218"/>
            </w:pPr>
            <w:r>
              <w:rPr>
                <w:rFonts w:ascii="Arial" w:eastAsia="Arial" w:hAnsi="Arial" w:cs="Arial"/>
                <w:sz w:val="18"/>
              </w:rPr>
              <w:t xml:space="preserve">podlega grzywnie, karze ograniczenia wolności albo pozbawienia wolności do lat 2. § 3. Jeżeli czyn określony w § 1 został popełniony w związku z </w:t>
            </w:r>
          </w:p>
          <w:p w:rsidR="00025B8E" w:rsidRDefault="00C13F2C">
            <w:pPr>
              <w:spacing w:line="258" w:lineRule="auto"/>
            </w:pPr>
            <w:r>
              <w:rPr>
                <w:rFonts w:ascii="Arial" w:eastAsia="Arial" w:hAnsi="Arial" w:cs="Arial"/>
                <w:sz w:val="18"/>
              </w:rPr>
              <w:t xml:space="preserve">eksploatacją instalacji działającej w ramach zakładu, w zakresie korzystania ze środowiska, na które wymagane jest pozwolenie, sprawca podlega karze pozbawienia wolności od 6 miesięcy do lat 8. </w:t>
            </w:r>
          </w:p>
          <w:p w:rsidR="00025B8E" w:rsidRDefault="00C13F2C">
            <w:pPr>
              <w:spacing w:after="14"/>
              <w:ind w:left="709"/>
            </w:pPr>
            <w:r>
              <w:rPr>
                <w:rFonts w:ascii="Arial" w:eastAsia="Arial" w:hAnsi="Arial" w:cs="Arial"/>
                <w:sz w:val="18"/>
              </w:rPr>
              <w:t xml:space="preserve">§ 4. Jeżeli sprawca czynu określonego w § 3 działa nieumyślnie, </w:t>
            </w:r>
          </w:p>
          <w:p w:rsidR="00025B8E" w:rsidRDefault="00C13F2C">
            <w:pPr>
              <w:spacing w:after="6"/>
            </w:pPr>
            <w:r>
              <w:rPr>
                <w:rFonts w:ascii="Arial" w:eastAsia="Arial" w:hAnsi="Arial" w:cs="Arial"/>
                <w:sz w:val="18"/>
              </w:rPr>
              <w:t xml:space="preserve">podlega karze pozbawienia wolności do lat 3. </w:t>
            </w:r>
          </w:p>
          <w:p w:rsidR="00025B8E" w:rsidRDefault="00C13F2C">
            <w:r>
              <w:rPr>
                <w:rFonts w:ascii="Arial" w:eastAsia="Arial" w:hAnsi="Arial" w:cs="Arial"/>
                <w:b/>
                <w:sz w:val="18"/>
              </w:rPr>
              <w:lastRenderedPageBreak/>
              <w:t>Art. 183.</w:t>
            </w:r>
            <w:r>
              <w:rPr>
                <w:rFonts w:ascii="Arial" w:eastAsia="Arial" w:hAnsi="Arial" w:cs="Arial"/>
                <w:sz w:val="18"/>
              </w:rPr>
              <w:t xml:space="preserve"> § 1. Kto wbrew przepisom składuje, usuwa, przetwarza, dokonuje odzysku, unieszkodliwia albo transportuje odpady lub substancje w takich </w:t>
            </w:r>
          </w:p>
        </w:tc>
        <w:tc>
          <w:tcPr>
            <w:tcW w:w="4664" w:type="dxa"/>
            <w:tcBorders>
              <w:top w:val="single" w:sz="4" w:space="0" w:color="000000"/>
              <w:left w:val="single" w:sz="4" w:space="0" w:color="000000"/>
              <w:bottom w:val="single" w:sz="4" w:space="0" w:color="000000"/>
              <w:right w:val="single" w:sz="4" w:space="0" w:color="000000"/>
            </w:tcBorders>
            <w:vAlign w:val="center"/>
          </w:tcPr>
          <w:p w:rsidR="00025B8E" w:rsidRDefault="00C13F2C">
            <w:pPr>
              <w:jc w:val="center"/>
            </w:pPr>
            <w:r>
              <w:rPr>
                <w:rFonts w:ascii="Arial" w:eastAsia="Arial" w:hAnsi="Arial" w:cs="Arial"/>
              </w:rPr>
              <w:lastRenderedPageBreak/>
              <w:t xml:space="preserve">III.C rubryka dotycząca </w:t>
            </w:r>
            <w:r>
              <w:rPr>
                <w:rFonts w:ascii="Arial" w:eastAsia="Arial" w:hAnsi="Arial" w:cs="Arial"/>
                <w:b/>
              </w:rPr>
              <w:t>prawa środowiska</w:t>
            </w:r>
            <w:r>
              <w:rPr>
                <w:rFonts w:ascii="Arial" w:eastAsia="Arial" w:hAnsi="Arial" w:cs="Arial"/>
              </w:rPr>
              <w:t xml:space="preserve">, prawa socjalnego i prawa pracy </w:t>
            </w:r>
          </w:p>
        </w:tc>
      </w:tr>
    </w:tbl>
    <w:p w:rsidR="00025B8E" w:rsidRDefault="00025B8E">
      <w:pPr>
        <w:spacing w:after="0"/>
        <w:ind w:left="-1406" w:right="8"/>
      </w:pPr>
    </w:p>
    <w:tbl>
      <w:tblPr>
        <w:tblStyle w:val="TableGrid"/>
        <w:tblW w:w="13994" w:type="dxa"/>
        <w:tblInd w:w="17" w:type="dxa"/>
        <w:tblCellMar>
          <w:top w:w="42" w:type="dxa"/>
          <w:left w:w="108" w:type="dxa"/>
          <w:right w:w="83" w:type="dxa"/>
        </w:tblCellMar>
        <w:tblLook w:val="04A0" w:firstRow="1" w:lastRow="0" w:firstColumn="1" w:lastColumn="0" w:noHBand="0" w:noVBand="1"/>
      </w:tblPr>
      <w:tblGrid>
        <w:gridCol w:w="2971"/>
        <w:gridCol w:w="6359"/>
        <w:gridCol w:w="4664"/>
      </w:tblGrid>
      <w:tr w:rsidR="00025B8E">
        <w:trPr>
          <w:trHeight w:val="8913"/>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52" w:lineRule="auto"/>
            </w:pPr>
            <w:r>
              <w:rPr>
                <w:rFonts w:ascii="Arial" w:eastAsia="Arial" w:hAnsi="Arial" w:cs="Arial"/>
                <w:sz w:val="18"/>
              </w:rPr>
              <w:t xml:space="preserve">warunkach lub w taki sposób, że może to zagrozić życiu lub zdrowiu człowieka lub spowodować istotne obniżenie jakości wody, powietrza lub powierzchni ziemi lub zniszczenie w świecie roślinnym lub zwierzęcym w znacznych rozmiarach, podlega karze pozbawienia wolności od 3 miesięcy do lat 5. </w:t>
            </w:r>
          </w:p>
          <w:p w:rsidR="00025B8E" w:rsidRDefault="00C13F2C">
            <w:pPr>
              <w:spacing w:after="14"/>
              <w:ind w:left="709"/>
            </w:pPr>
            <w:r>
              <w:rPr>
                <w:rFonts w:ascii="Arial" w:eastAsia="Arial" w:hAnsi="Arial" w:cs="Arial"/>
                <w:sz w:val="18"/>
              </w:rPr>
              <w:t xml:space="preserve">§ 2. Tej samej karze podlega, kto wbrew przepisom przywozi z </w:t>
            </w:r>
          </w:p>
          <w:p w:rsidR="00025B8E" w:rsidRDefault="00C13F2C">
            <w:r>
              <w:rPr>
                <w:rFonts w:ascii="Arial" w:eastAsia="Arial" w:hAnsi="Arial" w:cs="Arial"/>
                <w:sz w:val="18"/>
              </w:rPr>
              <w:t xml:space="preserve">zagranicy substancje zagrażające środowisku. </w:t>
            </w:r>
          </w:p>
          <w:p w:rsidR="00025B8E" w:rsidRDefault="00C13F2C">
            <w:pPr>
              <w:spacing w:after="14"/>
              <w:ind w:left="709"/>
            </w:pPr>
            <w:r>
              <w:rPr>
                <w:rFonts w:ascii="Arial" w:eastAsia="Arial" w:hAnsi="Arial" w:cs="Arial"/>
                <w:sz w:val="18"/>
              </w:rPr>
              <w:t xml:space="preserve">§ 3. Karze określonej w § 1 podlega, kto wbrew obowiązkowi </w:t>
            </w:r>
          </w:p>
          <w:p w:rsidR="00025B8E" w:rsidRDefault="00C13F2C">
            <w:r>
              <w:rPr>
                <w:rFonts w:ascii="Arial" w:eastAsia="Arial" w:hAnsi="Arial" w:cs="Arial"/>
                <w:sz w:val="18"/>
              </w:rPr>
              <w:t xml:space="preserve">dopuszcza do popełnienia czynu określonego w § 1, 2 i 4. </w:t>
            </w:r>
          </w:p>
          <w:p w:rsidR="00025B8E" w:rsidRDefault="00C13F2C">
            <w:pPr>
              <w:spacing w:after="14"/>
              <w:ind w:left="709"/>
            </w:pPr>
            <w:r>
              <w:rPr>
                <w:rFonts w:ascii="Arial" w:eastAsia="Arial" w:hAnsi="Arial" w:cs="Arial"/>
                <w:sz w:val="18"/>
              </w:rPr>
              <w:t xml:space="preserve">§ 4. Karze określonej w § 1 podlega, kto wbrew przepisom przywozi </w:t>
            </w:r>
          </w:p>
          <w:p w:rsidR="00025B8E" w:rsidRDefault="00C13F2C">
            <w:r>
              <w:rPr>
                <w:rFonts w:ascii="Arial" w:eastAsia="Arial" w:hAnsi="Arial" w:cs="Arial"/>
                <w:sz w:val="18"/>
              </w:rPr>
              <w:t xml:space="preserve">odpady z zagranicy lub wywozi odpady za granicę. </w:t>
            </w:r>
          </w:p>
          <w:p w:rsidR="00025B8E" w:rsidRDefault="00C13F2C">
            <w:pPr>
              <w:ind w:left="709"/>
            </w:pPr>
            <w:r>
              <w:rPr>
                <w:rFonts w:ascii="Arial" w:eastAsia="Arial" w:hAnsi="Arial" w:cs="Arial"/>
                <w:sz w:val="18"/>
              </w:rPr>
              <w:t xml:space="preserve">§ 5. Kto bez wymaganego zgłoszenia lub zezwolenia, albo wbrew </w:t>
            </w:r>
          </w:p>
          <w:p w:rsidR="00025B8E" w:rsidRDefault="00C13F2C">
            <w:pPr>
              <w:spacing w:line="276" w:lineRule="auto"/>
            </w:pPr>
            <w:r>
              <w:rPr>
                <w:rFonts w:ascii="Arial" w:eastAsia="Arial" w:hAnsi="Arial" w:cs="Arial"/>
                <w:sz w:val="18"/>
              </w:rPr>
              <w:t xml:space="preserve">jego warunkom przywozi z zagranicy lub wywozi za granicę odpady niebezpieczne, podlega karze pozbawienia wolności od 6 miesięcy do lat 8. </w:t>
            </w:r>
          </w:p>
          <w:p w:rsidR="00025B8E" w:rsidRDefault="00C13F2C">
            <w:pPr>
              <w:ind w:left="709"/>
            </w:pPr>
            <w:r>
              <w:rPr>
                <w:rFonts w:ascii="Arial" w:eastAsia="Arial" w:hAnsi="Arial" w:cs="Arial"/>
                <w:sz w:val="18"/>
              </w:rPr>
              <w:t xml:space="preserve">§ 6. Jeżeli sprawca czynu określonego w § 1–5 działa nieumyślnie, </w:t>
            </w:r>
          </w:p>
          <w:p w:rsidR="00025B8E" w:rsidRDefault="00C13F2C">
            <w:pPr>
              <w:spacing w:after="23" w:line="239" w:lineRule="auto"/>
            </w:pPr>
            <w:r>
              <w:rPr>
                <w:rFonts w:ascii="Arial" w:eastAsia="Arial" w:hAnsi="Arial" w:cs="Arial"/>
                <w:sz w:val="18"/>
              </w:rPr>
              <w:t xml:space="preserve">podlega grzywnie, karze ograniczenia wolności albo pozbawienia wolności do lat 2. </w:t>
            </w:r>
          </w:p>
          <w:p w:rsidR="00025B8E" w:rsidRDefault="00C13F2C">
            <w:pPr>
              <w:spacing w:line="249" w:lineRule="auto"/>
            </w:pPr>
            <w:r>
              <w:rPr>
                <w:rFonts w:ascii="Arial" w:eastAsia="Arial" w:hAnsi="Arial" w:cs="Arial"/>
                <w:b/>
                <w:sz w:val="18"/>
              </w:rPr>
              <w:t>Art. 184.</w:t>
            </w:r>
            <w:r>
              <w:rPr>
                <w:rFonts w:ascii="Arial" w:eastAsia="Arial" w:hAnsi="Arial" w:cs="Arial"/>
                <w:sz w:val="18"/>
              </w:rPr>
              <w:t xml:space="preserve"> § 1. Kto wyrabia, przetwarza, transportuje, przywozi z zagranicy, wywozi za granicę, gromadzi, składuje, przechowuje, posiada, wykorzystuje, posługuje się, usuwa, porzuca lub pozostawia bez właściwego zabezpieczenia materiał jądrowy albo inne źródło promieniowania jonizującego, w takich warunkach lub w taki sposób, że może to zagrozić życiu lub zdrowiu człowieka lub spowodować istotne obniżenie jakości wody, powietrza lub powierzchni ziemi lub zniszczenie w świecie roślinnym lub zwierzęcym w znacznych rozmiarach, podlega karze pozbawienia wolności od 3 miesięcy do lat 5. </w:t>
            </w:r>
          </w:p>
          <w:p w:rsidR="00025B8E" w:rsidRDefault="00C13F2C">
            <w:pPr>
              <w:spacing w:after="17"/>
              <w:ind w:left="709"/>
            </w:pPr>
            <w:r>
              <w:rPr>
                <w:rFonts w:ascii="Arial" w:eastAsia="Arial" w:hAnsi="Arial" w:cs="Arial"/>
                <w:sz w:val="18"/>
              </w:rPr>
              <w:t xml:space="preserve">§ 2. Tej samej karze podlega, kto wbrew obowiązkowi dopuszcza </w:t>
            </w:r>
          </w:p>
          <w:p w:rsidR="00025B8E" w:rsidRDefault="00C13F2C">
            <w:r>
              <w:rPr>
                <w:rFonts w:ascii="Arial" w:eastAsia="Arial" w:hAnsi="Arial" w:cs="Arial"/>
                <w:sz w:val="18"/>
              </w:rPr>
              <w:t xml:space="preserve">do popełnienia czynu określonego w § 1. </w:t>
            </w:r>
          </w:p>
          <w:p w:rsidR="00025B8E" w:rsidRDefault="00C13F2C">
            <w:pPr>
              <w:spacing w:after="14"/>
              <w:ind w:left="709"/>
            </w:pPr>
            <w:r>
              <w:rPr>
                <w:rFonts w:ascii="Arial" w:eastAsia="Arial" w:hAnsi="Arial" w:cs="Arial"/>
                <w:sz w:val="18"/>
              </w:rPr>
              <w:t xml:space="preserve">§ 3. Jeżeli sprawca czynu określonego w § 1 lub 2 działa </w:t>
            </w:r>
          </w:p>
          <w:p w:rsidR="00025B8E" w:rsidRDefault="00C13F2C">
            <w:pPr>
              <w:spacing w:line="276" w:lineRule="auto"/>
            </w:pPr>
            <w:r>
              <w:rPr>
                <w:rFonts w:ascii="Arial" w:eastAsia="Arial" w:hAnsi="Arial" w:cs="Arial"/>
                <w:sz w:val="18"/>
              </w:rPr>
              <w:t xml:space="preserve">nieumyślnie, podlega grzywnie, karze ograniczenia wolności albo pozbawienia wolności do lat 2. </w:t>
            </w:r>
          </w:p>
          <w:p w:rsidR="00025B8E" w:rsidRDefault="00C13F2C">
            <w:pPr>
              <w:spacing w:line="250" w:lineRule="auto"/>
            </w:pPr>
            <w:r>
              <w:rPr>
                <w:rFonts w:ascii="Arial" w:eastAsia="Arial" w:hAnsi="Arial" w:cs="Arial"/>
                <w:b/>
                <w:sz w:val="18"/>
              </w:rPr>
              <w:t>Art. 185.</w:t>
            </w:r>
            <w:r>
              <w:rPr>
                <w:rFonts w:ascii="Arial" w:eastAsia="Arial" w:hAnsi="Arial" w:cs="Arial"/>
                <w:sz w:val="18"/>
              </w:rPr>
              <w:t xml:space="preserve"> § 1. Jeżeli następstwem czynu określonego w art. 182 § 1 lub 3, art. 183 § 1 lub 3 lub w art. 184 § 1 lub 2 jest zniszczenie w świecie roślinnym lub zwierzęcym w znacznych rozmiarach lub istotne obniżenie jakości wody, powietrza lub powierzchni ziemi, sprawca podlega karze pozbawienia wolności od 6 miesięcy do lat 8. </w:t>
            </w:r>
          </w:p>
          <w:p w:rsidR="00025B8E" w:rsidRDefault="00C13F2C">
            <w:pPr>
              <w:spacing w:line="270" w:lineRule="auto"/>
              <w:ind w:firstLine="709"/>
            </w:pPr>
            <w:r>
              <w:rPr>
                <w:rFonts w:ascii="Arial" w:eastAsia="Arial" w:hAnsi="Arial" w:cs="Arial"/>
                <w:sz w:val="18"/>
              </w:rPr>
              <w:t xml:space="preserve">§ 2. Jeżeli następstwem czynu określonego w art. 182 § 1 lub 3, art. 183 § 1 lub 3 lub w art. 184 § 1 lub 2 jest ciężki uszczerbek na zdrowiu człowieka, sprawca podlega karze pozbawienia wolności od roku do lat 10. </w:t>
            </w:r>
          </w:p>
          <w:p w:rsidR="00025B8E" w:rsidRDefault="00C13F2C">
            <w:pPr>
              <w:ind w:left="709"/>
            </w:pPr>
            <w:r>
              <w:rPr>
                <w:rFonts w:ascii="Arial" w:eastAsia="Arial" w:hAnsi="Arial" w:cs="Arial"/>
                <w:sz w:val="18"/>
              </w:rPr>
              <w:t xml:space="preserve">§ 3. Jeżeli następstwem czynu określonego w art. 182 § 1 lub 3, art. </w:t>
            </w:r>
          </w:p>
          <w:p w:rsidR="00025B8E" w:rsidRDefault="00C13F2C">
            <w:r>
              <w:rPr>
                <w:rFonts w:ascii="Arial" w:eastAsia="Arial" w:hAnsi="Arial" w:cs="Arial"/>
                <w:sz w:val="18"/>
              </w:rPr>
              <w:lastRenderedPageBreak/>
              <w:t xml:space="preserve">183 § 1 lub 3 lub w art. 184 § 1 lub 2 jest śmierć człowieka lub ciężki uszczerbek na zdrowiu wielu osób, sprawca podlega karze pozbawienia wolności od lat 2 do 12.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27" w:type="dxa"/>
          <w:left w:w="108" w:type="dxa"/>
          <w:right w:w="52" w:type="dxa"/>
        </w:tblCellMar>
        <w:tblLook w:val="04A0" w:firstRow="1" w:lastRow="0" w:firstColumn="1" w:lastColumn="0" w:noHBand="0" w:noVBand="1"/>
      </w:tblPr>
      <w:tblGrid>
        <w:gridCol w:w="2971"/>
        <w:gridCol w:w="6359"/>
        <w:gridCol w:w="4664"/>
      </w:tblGrid>
      <w:tr w:rsidR="00025B8E">
        <w:trPr>
          <w:trHeight w:val="4357"/>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55" w:lineRule="auto"/>
            </w:pPr>
            <w:r>
              <w:rPr>
                <w:rFonts w:ascii="Arial" w:eastAsia="Arial" w:hAnsi="Arial" w:cs="Arial"/>
                <w:b/>
                <w:sz w:val="18"/>
              </w:rPr>
              <w:t>Art. 186.</w:t>
            </w:r>
            <w:r>
              <w:rPr>
                <w:rFonts w:ascii="Arial" w:eastAsia="Arial" w:hAnsi="Arial" w:cs="Arial"/>
                <w:sz w:val="18"/>
              </w:rPr>
              <w:t xml:space="preserve"> § 1. Kto wbrew obowiązkowi nie utrzymuje w należytym stanie lub nie używa urządzeń zabezpieczających wodę, powietrze lub powierzchnię ziemi przed zanieczyszczeniem lub urządzeń zabezpieczających przed skażeniem promieniotwórczym lub promieniowaniem jonizującym, podlega grzywnie, karze ograniczenia wolności albo pozbawienia wolności do lat 2. </w:t>
            </w:r>
          </w:p>
          <w:p w:rsidR="00025B8E" w:rsidRDefault="00C13F2C">
            <w:pPr>
              <w:ind w:left="709"/>
            </w:pPr>
            <w:r>
              <w:rPr>
                <w:rFonts w:ascii="Arial" w:eastAsia="Arial" w:hAnsi="Arial" w:cs="Arial"/>
                <w:sz w:val="18"/>
              </w:rPr>
              <w:t xml:space="preserve">§ 2. Tej samej karze podlega, kto oddaje lub wbrew obowiązkowi </w:t>
            </w:r>
          </w:p>
          <w:p w:rsidR="00025B8E" w:rsidRDefault="00C13F2C">
            <w:pPr>
              <w:spacing w:line="279" w:lineRule="auto"/>
            </w:pPr>
            <w:r>
              <w:rPr>
                <w:rFonts w:ascii="Arial" w:eastAsia="Arial" w:hAnsi="Arial" w:cs="Arial"/>
                <w:sz w:val="18"/>
              </w:rPr>
              <w:t xml:space="preserve">dopuszcza do użytkowania obiekt budowlany lub zespół obiektów nie mających wymaganych prawem urządzeń określonych w § 1. </w:t>
            </w:r>
          </w:p>
          <w:p w:rsidR="00025B8E" w:rsidRDefault="00C13F2C">
            <w:pPr>
              <w:spacing w:after="14"/>
              <w:ind w:right="263"/>
              <w:jc w:val="center"/>
            </w:pPr>
            <w:r>
              <w:rPr>
                <w:rFonts w:ascii="Arial" w:eastAsia="Arial" w:hAnsi="Arial" w:cs="Arial"/>
                <w:sz w:val="18"/>
              </w:rPr>
              <w:t xml:space="preserve">§ 3. Jeżeli sprawca czynu określonego w § 1 lub 2 działa </w:t>
            </w:r>
          </w:p>
          <w:p w:rsidR="00025B8E" w:rsidRDefault="00C13F2C">
            <w:pPr>
              <w:spacing w:after="6"/>
            </w:pPr>
            <w:r>
              <w:rPr>
                <w:rFonts w:ascii="Arial" w:eastAsia="Arial" w:hAnsi="Arial" w:cs="Arial"/>
                <w:sz w:val="18"/>
              </w:rPr>
              <w:t xml:space="preserve">nieumyślnie, podlega grzywnie albo karze ograniczenia wolności. </w:t>
            </w:r>
          </w:p>
          <w:p w:rsidR="00025B8E" w:rsidRDefault="00C13F2C">
            <w:pPr>
              <w:spacing w:after="14" w:line="254" w:lineRule="auto"/>
            </w:pPr>
            <w:r>
              <w:rPr>
                <w:rFonts w:ascii="Arial" w:eastAsia="Arial" w:hAnsi="Arial" w:cs="Arial"/>
                <w:b/>
                <w:sz w:val="18"/>
              </w:rPr>
              <w:t>Art. 187.</w:t>
            </w:r>
            <w:r>
              <w:rPr>
                <w:rFonts w:ascii="Arial" w:eastAsia="Arial" w:hAnsi="Arial" w:cs="Arial"/>
                <w:sz w:val="18"/>
              </w:rPr>
              <w:t xml:space="preserve"> § 1. Kto niszczy, poważnie uszkadza lub istotnie zmniejsza wartość przyrodniczą prawnie chronionego terenu lub obiektu, powodując istotną szkodę, podlega grzywnie, karze ograniczenia wolności albo pozbawienia wolności do lat 2. </w:t>
            </w:r>
          </w:p>
          <w:p w:rsidR="00025B8E" w:rsidRDefault="00C13F2C">
            <w:pPr>
              <w:spacing w:after="16"/>
              <w:ind w:left="709"/>
            </w:pPr>
            <w:r>
              <w:rPr>
                <w:rFonts w:ascii="Arial" w:eastAsia="Arial" w:hAnsi="Arial" w:cs="Arial"/>
                <w:sz w:val="18"/>
              </w:rPr>
              <w:t xml:space="preserve">§ 2. Jeżeli sprawca działa nieumyślnie, podlega grzywnie albo </w:t>
            </w:r>
          </w:p>
          <w:p w:rsidR="00025B8E" w:rsidRDefault="00C13F2C">
            <w:pPr>
              <w:spacing w:after="6"/>
            </w:pPr>
            <w:r>
              <w:rPr>
                <w:rFonts w:ascii="Arial" w:eastAsia="Arial" w:hAnsi="Arial" w:cs="Arial"/>
                <w:sz w:val="18"/>
              </w:rPr>
              <w:t xml:space="preserve">karze ograniczenia wolności. </w:t>
            </w:r>
          </w:p>
          <w:p w:rsidR="00025B8E" w:rsidRDefault="00C13F2C">
            <w:r>
              <w:rPr>
                <w:rFonts w:ascii="Arial" w:eastAsia="Arial" w:hAnsi="Arial" w:cs="Arial"/>
                <w:b/>
                <w:sz w:val="18"/>
              </w:rPr>
              <w:t>Art. 188.</w:t>
            </w:r>
            <w:r>
              <w:rPr>
                <w:rFonts w:ascii="Arial" w:eastAsia="Arial" w:hAnsi="Arial" w:cs="Arial"/>
                <w:sz w:val="18"/>
              </w:rPr>
              <w:t xml:space="preserve"> Kto, na terenie objętym ochroną ze względów przyrodniczych lub krajobrazowych albo w otulinie takiego terenu, wbrew przepisom, wznosi nowy lub powiększa istniejący obiekt budowlany albo prowadzi działalność gospodarczą zagrażającą środowisku, podlega grzywnie, karze ograniczenia wolności albo pozbawienia wolności do lat 2.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1044"/>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38"/>
            </w:pPr>
            <w:r>
              <w:rPr>
                <w:rFonts w:ascii="Arial" w:eastAsia="Arial" w:hAnsi="Arial" w:cs="Arial"/>
              </w:rPr>
              <w:t xml:space="preserve">art. 189a Kodeksu karnego </w:t>
            </w:r>
          </w:p>
          <w:p w:rsidR="00025B8E" w:rsidRDefault="00C13F2C">
            <w:r>
              <w:rPr>
                <w:rFonts w:ascii="Arial" w:eastAsia="Arial" w:hAnsi="Arial" w:cs="Arial"/>
              </w:rPr>
              <w:t xml:space="preserve">[handel ludźmi]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84" w:lineRule="auto"/>
              <w:jc w:val="both"/>
            </w:pPr>
            <w:r>
              <w:rPr>
                <w:rFonts w:ascii="Arial" w:eastAsia="Arial" w:hAnsi="Arial" w:cs="Arial"/>
                <w:b/>
                <w:sz w:val="18"/>
              </w:rPr>
              <w:t>Art. 189a</w:t>
            </w:r>
            <w:r>
              <w:rPr>
                <w:rFonts w:ascii="Arial" w:eastAsia="Arial" w:hAnsi="Arial" w:cs="Arial"/>
                <w:sz w:val="18"/>
              </w:rPr>
              <w:t xml:space="preserve"> § 1. Kto dopuszcza się handlu ludźmi, podlega karze pozbawienia wolności na czas nie krótszy od lat 3. </w:t>
            </w:r>
          </w:p>
          <w:p w:rsidR="00025B8E" w:rsidRDefault="00C13F2C">
            <w:pPr>
              <w:ind w:right="163"/>
              <w:jc w:val="center"/>
            </w:pPr>
            <w:r>
              <w:rPr>
                <w:rFonts w:ascii="Arial" w:eastAsia="Arial" w:hAnsi="Arial" w:cs="Arial"/>
                <w:sz w:val="18"/>
              </w:rPr>
              <w:t xml:space="preserve">§ 2. Kto czyni przygotowania do popełnienia przestępstwa </w:t>
            </w:r>
          </w:p>
          <w:p w:rsidR="00025B8E" w:rsidRDefault="00C13F2C">
            <w:pPr>
              <w:jc w:val="both"/>
            </w:pPr>
            <w:r>
              <w:rPr>
                <w:rFonts w:ascii="Arial" w:eastAsia="Arial" w:hAnsi="Arial" w:cs="Arial"/>
                <w:sz w:val="18"/>
              </w:rPr>
              <w:t xml:space="preserve">określonego w § 1, podlega karze pozbawienia wolności od 3 miesięcy do lat 5.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54"/>
              <w:jc w:val="center"/>
            </w:pPr>
            <w:r>
              <w:rPr>
                <w:rFonts w:ascii="Arial" w:eastAsia="Arial" w:hAnsi="Arial" w:cs="Arial"/>
              </w:rPr>
              <w:t xml:space="preserve">III.A pkt 6 </w:t>
            </w:r>
          </w:p>
        </w:tc>
      </w:tr>
      <w:tr w:rsidR="00025B8E">
        <w:trPr>
          <w:trHeight w:val="3325"/>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22" w:line="238" w:lineRule="auto"/>
            </w:pPr>
            <w:r>
              <w:rPr>
                <w:rFonts w:ascii="Arial" w:eastAsia="Arial" w:hAnsi="Arial" w:cs="Arial"/>
              </w:rPr>
              <w:lastRenderedPageBreak/>
              <w:t xml:space="preserve">art. 218-221 Kodeksu karnego </w:t>
            </w:r>
          </w:p>
          <w:p w:rsidR="00025B8E" w:rsidRDefault="00C13F2C">
            <w:pPr>
              <w:spacing w:after="41" w:line="238" w:lineRule="auto"/>
            </w:pPr>
            <w:r>
              <w:rPr>
                <w:rFonts w:ascii="Arial" w:eastAsia="Arial" w:hAnsi="Arial" w:cs="Arial"/>
              </w:rPr>
              <w:t xml:space="preserve">[przestępstwa przeciwko prawom osób wykonujących </w:t>
            </w:r>
          </w:p>
          <w:p w:rsidR="00025B8E" w:rsidRDefault="00C13F2C">
            <w:r>
              <w:rPr>
                <w:rFonts w:ascii="Arial" w:eastAsia="Arial" w:hAnsi="Arial" w:cs="Arial"/>
              </w:rPr>
              <w:t xml:space="preserve">pracę zarobkową]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b/>
                <w:sz w:val="18"/>
              </w:rPr>
              <w:t>Art. 218.</w:t>
            </w:r>
            <w:r>
              <w:rPr>
                <w:rFonts w:ascii="Arial" w:eastAsia="Arial" w:hAnsi="Arial" w:cs="Arial"/>
                <w:sz w:val="18"/>
              </w:rPr>
              <w:t xml:space="preserve"> § 1. (utracił moc) </w:t>
            </w:r>
          </w:p>
          <w:p w:rsidR="00025B8E" w:rsidRDefault="00C13F2C">
            <w:pPr>
              <w:ind w:right="142"/>
              <w:jc w:val="right"/>
            </w:pPr>
            <w:r>
              <w:rPr>
                <w:rFonts w:ascii="Arial" w:eastAsia="Arial" w:hAnsi="Arial" w:cs="Arial"/>
                <w:sz w:val="18"/>
              </w:rPr>
              <w:t xml:space="preserve">§ 1a. Kto, wykonując czynności w sprawach z zakresu prawa pracy </w:t>
            </w:r>
          </w:p>
          <w:p w:rsidR="00025B8E" w:rsidRDefault="00C13F2C">
            <w:pPr>
              <w:spacing w:line="250" w:lineRule="auto"/>
              <w:ind w:right="17"/>
            </w:pPr>
            <w:r>
              <w:rPr>
                <w:rFonts w:ascii="Arial" w:eastAsia="Arial" w:hAnsi="Arial" w:cs="Arial"/>
                <w:sz w:val="18"/>
              </w:rPr>
              <w:t xml:space="preserve">i ubezpieczeń społecznych, złośliwie lub uporczywie narusza prawa pracownika wynikające ze stosunku pracy lub ubezpieczenia społecznego, podlega grzywnie, karze ograniczenia wolności albo pozbawienia wolności do lat 2. </w:t>
            </w:r>
          </w:p>
          <w:p w:rsidR="00025B8E" w:rsidRDefault="00C13F2C">
            <w:pPr>
              <w:spacing w:after="8"/>
              <w:ind w:left="709"/>
            </w:pPr>
            <w:r>
              <w:rPr>
                <w:rFonts w:ascii="Arial" w:eastAsia="Arial" w:hAnsi="Arial" w:cs="Arial"/>
                <w:sz w:val="18"/>
              </w:rPr>
              <w:t xml:space="preserve">§ 2. Osoba określona w § 1a, odmawiająca ponownego przyjęcia </w:t>
            </w:r>
          </w:p>
          <w:p w:rsidR="00025B8E" w:rsidRDefault="00C13F2C">
            <w:pPr>
              <w:spacing w:line="279" w:lineRule="auto"/>
            </w:pPr>
            <w:r>
              <w:rPr>
                <w:rFonts w:ascii="Arial" w:eastAsia="Arial" w:hAnsi="Arial" w:cs="Arial"/>
                <w:sz w:val="18"/>
              </w:rPr>
              <w:t xml:space="preserve">do pracy, o której przywróceniu orzekł właściwy organ, podlega grzywnie, karze ograniczenia wolności albo pozbawienia wolności do roku. </w:t>
            </w:r>
          </w:p>
          <w:p w:rsidR="00025B8E" w:rsidRDefault="00C13F2C">
            <w:pPr>
              <w:ind w:left="709"/>
            </w:pPr>
            <w:r>
              <w:rPr>
                <w:rFonts w:ascii="Arial" w:eastAsia="Arial" w:hAnsi="Arial" w:cs="Arial"/>
                <w:sz w:val="18"/>
              </w:rPr>
              <w:t xml:space="preserve">§ 3. Osoba określona w § 1a, która będąc zobowiązana </w:t>
            </w:r>
          </w:p>
          <w:p w:rsidR="00025B8E" w:rsidRDefault="00C13F2C">
            <w:r>
              <w:rPr>
                <w:rFonts w:ascii="Arial" w:eastAsia="Arial" w:hAnsi="Arial" w:cs="Arial"/>
                <w:sz w:val="18"/>
              </w:rPr>
              <w:t xml:space="preserve">orzeczeniem sądu do wypłaty wynagrodzenia za pracę lub innego świadczenia ze stosunku pracy, obowiązku tego nie wykonuje, podlega grzywnie, karze ograniczenia wolności albo pozbawienia wolności do lat 3. </w:t>
            </w:r>
            <w:r>
              <w:rPr>
                <w:rFonts w:ascii="Arial" w:eastAsia="Arial" w:hAnsi="Arial" w:cs="Arial"/>
                <w:b/>
                <w:sz w:val="18"/>
              </w:rPr>
              <w:t>Art. 219.</w:t>
            </w:r>
            <w:r>
              <w:rPr>
                <w:rFonts w:ascii="Arial" w:eastAsia="Arial" w:hAnsi="Arial" w:cs="Arial"/>
                <w:sz w:val="18"/>
              </w:rPr>
              <w:t xml:space="preserve"> Kto narusza przepisy prawa o ubezpieczeniach społecznych, nie zgłaszając, nawet za zgodą zainteresowanego, wymaganych danych albo zgłaszając nieprawdziwe dane mające wpływ na prawo do świadczeń albo </w:t>
            </w:r>
          </w:p>
        </w:tc>
        <w:tc>
          <w:tcPr>
            <w:tcW w:w="4664" w:type="dxa"/>
            <w:tcBorders>
              <w:top w:val="single" w:sz="4" w:space="0" w:color="000000"/>
              <w:left w:val="single" w:sz="4" w:space="0" w:color="000000"/>
              <w:bottom w:val="single" w:sz="4" w:space="0" w:color="000000"/>
              <w:right w:val="single" w:sz="4" w:space="0" w:color="000000"/>
            </w:tcBorders>
            <w:vAlign w:val="center"/>
          </w:tcPr>
          <w:p w:rsidR="00025B8E" w:rsidRDefault="00C13F2C">
            <w:pPr>
              <w:jc w:val="center"/>
            </w:pPr>
            <w:r>
              <w:rPr>
                <w:rFonts w:ascii="Arial" w:eastAsia="Arial" w:hAnsi="Arial" w:cs="Arial"/>
              </w:rPr>
              <w:t xml:space="preserve">III.C rubryka dotycząca prawa środowiska, </w:t>
            </w:r>
            <w:r>
              <w:rPr>
                <w:rFonts w:ascii="Arial" w:eastAsia="Arial" w:hAnsi="Arial" w:cs="Arial"/>
                <w:b/>
              </w:rPr>
              <w:t>prawa socjalnego i prawa pracy</w:t>
            </w:r>
            <w:r>
              <w:rPr>
                <w:rFonts w:ascii="Arial" w:eastAsia="Arial" w:hAnsi="Arial" w:cs="Arial"/>
              </w:rPr>
              <w:t xml:space="preserve"> </w:t>
            </w:r>
          </w:p>
        </w:tc>
      </w:tr>
    </w:tbl>
    <w:p w:rsidR="00025B8E" w:rsidRDefault="00025B8E">
      <w:pPr>
        <w:spacing w:after="0"/>
        <w:ind w:left="-1406" w:right="8"/>
      </w:pPr>
    </w:p>
    <w:tbl>
      <w:tblPr>
        <w:tblStyle w:val="TableGrid"/>
        <w:tblW w:w="13994" w:type="dxa"/>
        <w:tblInd w:w="17" w:type="dxa"/>
        <w:tblCellMar>
          <w:top w:w="34" w:type="dxa"/>
          <w:left w:w="108" w:type="dxa"/>
          <w:right w:w="110" w:type="dxa"/>
        </w:tblCellMar>
        <w:tblLook w:val="04A0" w:firstRow="1" w:lastRow="0" w:firstColumn="1" w:lastColumn="0" w:noHBand="0" w:noVBand="1"/>
      </w:tblPr>
      <w:tblGrid>
        <w:gridCol w:w="2971"/>
        <w:gridCol w:w="6359"/>
        <w:gridCol w:w="4664"/>
      </w:tblGrid>
      <w:tr w:rsidR="00025B8E">
        <w:trPr>
          <w:trHeight w:val="2907"/>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6" w:lineRule="auto"/>
            </w:pPr>
            <w:r>
              <w:rPr>
                <w:rFonts w:ascii="Arial" w:eastAsia="Arial" w:hAnsi="Arial" w:cs="Arial"/>
                <w:sz w:val="18"/>
              </w:rPr>
              <w:t xml:space="preserve">ich wysokość, podlega grzywnie, karze ograniczenia wolności albo pozbawienia wolności do lat 2. </w:t>
            </w:r>
          </w:p>
          <w:p w:rsidR="00025B8E" w:rsidRDefault="00C13F2C">
            <w:pPr>
              <w:spacing w:line="254" w:lineRule="auto"/>
            </w:pPr>
            <w:r>
              <w:rPr>
                <w:rFonts w:ascii="Arial" w:eastAsia="Arial" w:hAnsi="Arial" w:cs="Arial"/>
                <w:b/>
                <w:sz w:val="18"/>
              </w:rPr>
              <w:t>Art. 220.</w:t>
            </w:r>
            <w:r>
              <w:rPr>
                <w:rFonts w:ascii="Arial" w:eastAsia="Arial" w:hAnsi="Arial" w:cs="Arial"/>
                <w:sz w:val="18"/>
              </w:rPr>
              <w:t xml:space="preserve"> § 1. Kto, będąc odpowiedzialny za bezpieczeństwo i higienę pracy, nie dopełnia wynikającego stąd obowiązku i przez to naraża pracownika na bezpośrednie niebezpieczeństwo utraty życia albo ciężkiego uszczerbku na zdrowiu, podlega karze pozbawienia wolności do lat 3. </w:t>
            </w:r>
          </w:p>
          <w:p w:rsidR="00025B8E" w:rsidRDefault="00C13F2C">
            <w:pPr>
              <w:spacing w:after="17"/>
              <w:ind w:left="709"/>
            </w:pPr>
            <w:r>
              <w:rPr>
                <w:rFonts w:ascii="Arial" w:eastAsia="Arial" w:hAnsi="Arial" w:cs="Arial"/>
                <w:sz w:val="18"/>
              </w:rPr>
              <w:t xml:space="preserve">§ 2. Jeżeli sprawca działa nieumyślnie, podlega grzywnie, karze </w:t>
            </w:r>
          </w:p>
          <w:p w:rsidR="00025B8E" w:rsidRDefault="00C13F2C">
            <w:r>
              <w:rPr>
                <w:rFonts w:ascii="Arial" w:eastAsia="Arial" w:hAnsi="Arial" w:cs="Arial"/>
                <w:sz w:val="18"/>
              </w:rPr>
              <w:t xml:space="preserve">ograniczenia wolności albo pozbawienia wolności do roku. </w:t>
            </w:r>
          </w:p>
          <w:p w:rsidR="00025B8E" w:rsidRDefault="00C13F2C">
            <w:pPr>
              <w:spacing w:after="14"/>
              <w:ind w:left="709"/>
            </w:pPr>
            <w:r>
              <w:rPr>
                <w:rFonts w:ascii="Arial" w:eastAsia="Arial" w:hAnsi="Arial" w:cs="Arial"/>
                <w:sz w:val="18"/>
              </w:rPr>
              <w:t xml:space="preserve">§ 3. Nie podlega karze sprawca, który dobrowolnie uchylił grożące </w:t>
            </w:r>
          </w:p>
          <w:p w:rsidR="00025B8E" w:rsidRDefault="00C13F2C">
            <w:pPr>
              <w:spacing w:after="6"/>
            </w:pPr>
            <w:r>
              <w:rPr>
                <w:rFonts w:ascii="Arial" w:eastAsia="Arial" w:hAnsi="Arial" w:cs="Arial"/>
                <w:sz w:val="18"/>
              </w:rPr>
              <w:t xml:space="preserve">niebezpieczeństwo. </w:t>
            </w:r>
          </w:p>
          <w:p w:rsidR="00025B8E" w:rsidRDefault="00C13F2C">
            <w:r>
              <w:rPr>
                <w:rFonts w:ascii="Arial" w:eastAsia="Arial" w:hAnsi="Arial" w:cs="Arial"/>
                <w:b/>
                <w:sz w:val="18"/>
              </w:rPr>
              <w:t>Art. 221.</w:t>
            </w:r>
            <w:r>
              <w:rPr>
                <w:rFonts w:ascii="Arial" w:eastAsia="Arial" w:hAnsi="Arial" w:cs="Arial"/>
                <w:sz w:val="18"/>
              </w:rPr>
              <w:t xml:space="preserve"> Kto wbrew obowiązkowi nie zawiadamia w terminie właściwego organu o wypadku przy pracy lub chorobie zawodowej albo nie sporządza lub nie przedstawia wymaganej dokumentacji, podlega grzywnie do 180 stawek dziennych albo karze ograniczenia wolności.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5809"/>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ind w:right="524"/>
            </w:pPr>
            <w:r>
              <w:rPr>
                <w:rFonts w:ascii="Arial" w:eastAsia="Arial" w:hAnsi="Arial" w:cs="Arial"/>
              </w:rPr>
              <w:lastRenderedPageBreak/>
              <w:t xml:space="preserve">art. 228-230a Kodeksu karnego [korupcja]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3" w:lineRule="auto"/>
            </w:pPr>
            <w:r>
              <w:rPr>
                <w:rFonts w:ascii="Arial" w:eastAsia="Arial" w:hAnsi="Arial" w:cs="Arial"/>
                <w:b/>
                <w:sz w:val="18"/>
              </w:rPr>
              <w:t>Art. 228.</w:t>
            </w:r>
            <w:r>
              <w:rPr>
                <w:rFonts w:ascii="Arial" w:eastAsia="Arial" w:hAnsi="Arial" w:cs="Arial"/>
                <w:sz w:val="18"/>
              </w:rPr>
              <w:t xml:space="preserve"> § 1. Kto, w związku z pełnieniem funkcji publicznej, przyjmuje korzyść majątkową lub osobistą albo jej obietnicę, podlega karze pozbawienia wolności od 6 miesięcy do lat 8. </w:t>
            </w:r>
          </w:p>
          <w:p w:rsidR="00025B8E" w:rsidRDefault="00C13F2C">
            <w:pPr>
              <w:spacing w:line="279" w:lineRule="auto"/>
              <w:ind w:firstLine="481"/>
            </w:pPr>
            <w:r>
              <w:rPr>
                <w:rFonts w:ascii="Arial" w:eastAsia="Arial" w:hAnsi="Arial" w:cs="Arial"/>
                <w:sz w:val="18"/>
              </w:rPr>
              <w:t xml:space="preserve">§ 2. W wypadku mniejszej wagi, sprawca podlega grzywnie, karze ograniczenia wolności albo pozbawienia wolności do lat 2. </w:t>
            </w:r>
          </w:p>
          <w:p w:rsidR="00025B8E" w:rsidRDefault="00C13F2C">
            <w:pPr>
              <w:spacing w:after="30"/>
              <w:ind w:firstLine="481"/>
            </w:pPr>
            <w:r>
              <w:rPr>
                <w:rFonts w:ascii="Arial" w:eastAsia="Arial" w:hAnsi="Arial" w:cs="Arial"/>
                <w:sz w:val="18"/>
              </w:rPr>
              <w:t xml:space="preserve">§ 3. Kto, w związku z pełnieniem funkcji publicznej, przyjmuje korzyść majątkową lub osobistą albo jej obietnicę za zachowanie stanowiące naruszenie przepisów prawa, podlega karze pozbawienia wolności od roku do lat 10. </w:t>
            </w:r>
          </w:p>
          <w:p w:rsidR="00025B8E" w:rsidRDefault="00C13F2C">
            <w:pPr>
              <w:spacing w:after="13" w:line="263" w:lineRule="auto"/>
              <w:ind w:firstLine="481"/>
            </w:pPr>
            <w:r>
              <w:rPr>
                <w:rFonts w:ascii="Arial" w:eastAsia="Arial" w:hAnsi="Arial" w:cs="Arial"/>
                <w:sz w:val="18"/>
              </w:rPr>
              <w:t xml:space="preserve">§ 4. Karze określonej w § 3 podlega także ten, kto, w związku z pełnieniem funkcji publicznej, uzależnia wykonanie czynności służbowej od otrzymania korzyści majątkowej lub osobistej albo jej obietnicy lub takiej korzyści żąda. </w:t>
            </w:r>
          </w:p>
          <w:p w:rsidR="00025B8E" w:rsidRDefault="00C13F2C">
            <w:pPr>
              <w:spacing w:after="19" w:line="253" w:lineRule="auto"/>
              <w:ind w:firstLine="481"/>
            </w:pPr>
            <w:r>
              <w:rPr>
                <w:rFonts w:ascii="Arial" w:eastAsia="Arial" w:hAnsi="Arial" w:cs="Arial"/>
                <w:sz w:val="18"/>
              </w:rPr>
              <w:t xml:space="preserve">§ 5. Kto, w związku z pełnieniem funkcji publicznej, przyjmuje korzyść majątkową znacznej wartości albo jej obietnicę, podlega karze pozbawienia wolności od lat 2 do 12. </w:t>
            </w:r>
          </w:p>
          <w:p w:rsidR="00025B8E" w:rsidRDefault="00C13F2C">
            <w:pPr>
              <w:spacing w:after="15" w:line="249" w:lineRule="auto"/>
              <w:ind w:firstLine="481"/>
            </w:pPr>
            <w:r>
              <w:rPr>
                <w:rFonts w:ascii="Arial" w:eastAsia="Arial" w:hAnsi="Arial" w:cs="Arial"/>
                <w:sz w:val="18"/>
              </w:rPr>
              <w:t xml:space="preserve">§ 6. Karom określonym w § 1-5 podlega odpowiednio także ten, kto, w związku z pełnieniem funkcji publicznej w państwie obcym lub w organizacji międzynarodowej, przyjmuje korzyść majątkową lub osobistą albo jej obietnicę lub takiej korzyści żąda, albo uzależnia wykonanie czynności służbowej od jej otrzymania. </w:t>
            </w:r>
          </w:p>
          <w:p w:rsidR="00025B8E" w:rsidRDefault="00C13F2C">
            <w:pPr>
              <w:spacing w:line="261" w:lineRule="auto"/>
            </w:pPr>
            <w:r>
              <w:rPr>
                <w:rFonts w:ascii="Arial" w:eastAsia="Arial" w:hAnsi="Arial" w:cs="Arial"/>
                <w:b/>
                <w:sz w:val="18"/>
              </w:rPr>
              <w:t>Art. 229.</w:t>
            </w:r>
            <w:r>
              <w:rPr>
                <w:rFonts w:ascii="Arial" w:eastAsia="Arial" w:hAnsi="Arial" w:cs="Arial"/>
                <w:sz w:val="18"/>
              </w:rPr>
              <w:t xml:space="preserve"> § 1. Kto udziela albo obiecuje udzielić korzyści majątkowej lub osobistej osobie pełniącej funkcję publiczną w związku z pełnieniem tej funkcji, podlega karze pozbawienia wolności od 6 miesięcy do lat 8. </w:t>
            </w:r>
          </w:p>
          <w:p w:rsidR="00025B8E" w:rsidRDefault="00C13F2C">
            <w:pPr>
              <w:spacing w:line="279" w:lineRule="auto"/>
              <w:ind w:firstLine="481"/>
            </w:pPr>
            <w:r>
              <w:rPr>
                <w:rFonts w:ascii="Arial" w:eastAsia="Arial" w:hAnsi="Arial" w:cs="Arial"/>
                <w:sz w:val="18"/>
              </w:rPr>
              <w:t xml:space="preserve">§ 2. W wypadku mniejszej wagi, sprawca podlega grzywnie, karze ograniczenia wolności albo pozbawienia wolności do lat 2. </w:t>
            </w:r>
          </w:p>
          <w:p w:rsidR="00025B8E" w:rsidRDefault="00C13F2C">
            <w:pPr>
              <w:ind w:firstLine="481"/>
            </w:pPr>
            <w:r>
              <w:rPr>
                <w:rFonts w:ascii="Arial" w:eastAsia="Arial" w:hAnsi="Arial" w:cs="Arial"/>
                <w:sz w:val="18"/>
              </w:rPr>
              <w:t xml:space="preserve">§ 3. Jeżeli sprawca czynu określonego w § 1 działa, aby skłonić osobę pełniącą funkcję publiczną do naruszenia przepisów prawa lub udziela albo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left="4"/>
              <w:jc w:val="center"/>
            </w:pPr>
            <w:r>
              <w:rPr>
                <w:rFonts w:ascii="Arial" w:eastAsia="Arial" w:hAnsi="Arial" w:cs="Arial"/>
              </w:rPr>
              <w:t xml:space="preserve">III.A pkt 2 </w:t>
            </w:r>
          </w:p>
        </w:tc>
      </w:tr>
    </w:tbl>
    <w:p w:rsidR="00025B8E" w:rsidRDefault="00025B8E">
      <w:pPr>
        <w:spacing w:after="0"/>
        <w:ind w:left="-1406" w:right="8"/>
      </w:pPr>
    </w:p>
    <w:tbl>
      <w:tblPr>
        <w:tblStyle w:val="TableGrid"/>
        <w:tblW w:w="13994" w:type="dxa"/>
        <w:tblInd w:w="17" w:type="dxa"/>
        <w:tblCellMar>
          <w:top w:w="9" w:type="dxa"/>
          <w:left w:w="108" w:type="dxa"/>
          <w:right w:w="74" w:type="dxa"/>
        </w:tblCellMar>
        <w:tblLook w:val="04A0" w:firstRow="1" w:lastRow="0" w:firstColumn="1" w:lastColumn="0" w:noHBand="0" w:noVBand="1"/>
      </w:tblPr>
      <w:tblGrid>
        <w:gridCol w:w="2971"/>
        <w:gridCol w:w="6359"/>
        <w:gridCol w:w="4664"/>
      </w:tblGrid>
      <w:tr w:rsidR="00025B8E">
        <w:trPr>
          <w:trHeight w:val="7876"/>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6" w:line="270" w:lineRule="auto"/>
              <w:ind w:right="867"/>
            </w:pPr>
            <w:r>
              <w:rPr>
                <w:rFonts w:ascii="Arial" w:eastAsia="Arial" w:hAnsi="Arial" w:cs="Arial"/>
                <w:sz w:val="18"/>
              </w:rPr>
              <w:t xml:space="preserve">obiecuje udzielić takiej osobie korzyści majątkowej lub osobistej za naruszenie przepisów prawa, podlega karze pozbawienia wolności od roku do lat 10. </w:t>
            </w:r>
          </w:p>
          <w:p w:rsidR="00025B8E" w:rsidRDefault="00C13F2C">
            <w:pPr>
              <w:spacing w:after="9" w:line="258" w:lineRule="auto"/>
              <w:ind w:firstLine="481"/>
            </w:pPr>
            <w:r>
              <w:rPr>
                <w:rFonts w:ascii="Arial" w:eastAsia="Arial" w:hAnsi="Arial" w:cs="Arial"/>
                <w:sz w:val="18"/>
              </w:rPr>
              <w:t xml:space="preserve">§ 4. Kto osobie pełniącej funkcję publiczną, w związku z pełnieniem tej funkcji, udziela albo obiecuje udzielić korzyści majątkowej znacznej wartości, podlega karze pozbawienia wolności od lat 2 do 12. </w:t>
            </w:r>
          </w:p>
          <w:p w:rsidR="00025B8E" w:rsidRDefault="00C13F2C">
            <w:pPr>
              <w:spacing w:after="11" w:line="252" w:lineRule="auto"/>
              <w:ind w:firstLine="481"/>
            </w:pPr>
            <w:r>
              <w:rPr>
                <w:rFonts w:ascii="Arial" w:eastAsia="Arial" w:hAnsi="Arial" w:cs="Arial"/>
                <w:sz w:val="18"/>
              </w:rPr>
              <w:t xml:space="preserve">§ 5. Karom określonym w § 1-4 podlega odpowiednio także ten, kto udziela albo obiecuje udzielić korzyści majątkowej lub osobistej osobie pełniącej funkcję publiczną w państwie obcym lub w organizacji międzynarodowej, w związku z pełnieniem tej funkcji. </w:t>
            </w:r>
          </w:p>
          <w:p w:rsidR="00025B8E" w:rsidRDefault="00C13F2C">
            <w:pPr>
              <w:spacing w:line="254" w:lineRule="auto"/>
              <w:ind w:right="88" w:firstLine="481"/>
            </w:pPr>
            <w:r>
              <w:rPr>
                <w:rFonts w:ascii="Arial" w:eastAsia="Arial" w:hAnsi="Arial" w:cs="Arial"/>
                <w:sz w:val="18"/>
              </w:rPr>
              <w:t xml:space="preserve">§ 6. Nie podlega karze sprawca przestępstwa określonego w § 1-5, jeżeli korzyść majątkowa lub osobista albo ich obietnica zostały przyjęte przez osobę pełniącą funkcję publiczną, a sprawca zawiadomił o tym fakcie organ powołany do ścigania przestępstw i ujawnił wszystkie istotne okoliczności przestępstwa, zanim organ ten o nim się dowiedział. </w:t>
            </w:r>
            <w:r>
              <w:rPr>
                <w:rFonts w:ascii="Arial" w:eastAsia="Arial" w:hAnsi="Arial" w:cs="Arial"/>
                <w:b/>
                <w:sz w:val="18"/>
              </w:rPr>
              <w:t>Art. 230.</w:t>
            </w:r>
            <w:r>
              <w:rPr>
                <w:rFonts w:ascii="Arial" w:eastAsia="Arial" w:hAnsi="Arial" w:cs="Arial"/>
                <w:sz w:val="18"/>
              </w:rPr>
              <w:t xml:space="preserve"> § 1. Kto, powołując się na wpływy w instytucji państwowej, samorządowej, organizacji międzynarodowej albo krajowej lub w zagranicznej jednostce organizacyjnej dysponującej środkami publicznymi albo wywołując przekonanie innej osoby lub utwierdzając ją w przekonaniu o istnieniu takich wpływów, podejmuje się pośrednictwa w załatwieniu sprawy w zamian za korzyść majątkową lub osobistą albo jej obietnicę, podlega karze pozbawienia wolności od 6 miesięcy do lat 8. </w:t>
            </w:r>
          </w:p>
          <w:p w:rsidR="00025B8E" w:rsidRDefault="00C13F2C">
            <w:pPr>
              <w:spacing w:line="280" w:lineRule="auto"/>
              <w:ind w:firstLine="481"/>
            </w:pPr>
            <w:r>
              <w:rPr>
                <w:rFonts w:ascii="Arial" w:eastAsia="Arial" w:hAnsi="Arial" w:cs="Arial"/>
                <w:sz w:val="18"/>
              </w:rPr>
              <w:t xml:space="preserve">§ 2. W wypadku mniejszej wagi, sprawca podlega grzywnie, karze ograniczenia wolności albo pozbawienia wolności do lat 2. </w:t>
            </w:r>
          </w:p>
          <w:p w:rsidR="00025B8E" w:rsidRDefault="00C13F2C">
            <w:pPr>
              <w:spacing w:line="247" w:lineRule="auto"/>
            </w:pPr>
            <w:r>
              <w:rPr>
                <w:rFonts w:ascii="Arial" w:eastAsia="Arial" w:hAnsi="Arial" w:cs="Arial"/>
                <w:b/>
                <w:sz w:val="18"/>
              </w:rPr>
              <w:t>Art. 230a.</w:t>
            </w:r>
            <w:r>
              <w:rPr>
                <w:rFonts w:ascii="Arial" w:eastAsia="Arial" w:hAnsi="Arial" w:cs="Arial"/>
                <w:sz w:val="18"/>
              </w:rPr>
              <w:t xml:space="preserve"> § 1. Kto udziela albo obiecuje udzielić korzyści majątkowej lub osobistej w zamian za pośrednictwo w załatwieniu sprawy w instytucji państwowej, samorządowej, organizacji międzynarodowej albo krajowej lub w zagranicznej jednostce organizacyjnej dysponującej środkami publicznymi, polegające na bezprawnym wywarciu wpływu na decyzję, działanie lub zaniechanie osoby pełniącej funkcję publiczną, w związku z pełnieniem tej funkcji, podlega karze pozbawienia wolności od 6 miesięcy do lat 8. </w:t>
            </w:r>
          </w:p>
          <w:p w:rsidR="00025B8E" w:rsidRDefault="00C13F2C">
            <w:pPr>
              <w:spacing w:after="1" w:line="273" w:lineRule="auto"/>
              <w:ind w:firstLine="481"/>
            </w:pPr>
            <w:r>
              <w:rPr>
                <w:rFonts w:ascii="Arial" w:eastAsia="Arial" w:hAnsi="Arial" w:cs="Arial"/>
                <w:sz w:val="18"/>
              </w:rPr>
              <w:t xml:space="preserve">§ 2. W wypadku mniejszej wagi, sprawca podlega grzywnie, karze ograniczenia wolności albo pozbawienia wolności do lat 2. </w:t>
            </w:r>
          </w:p>
          <w:p w:rsidR="00025B8E" w:rsidRDefault="00C13F2C">
            <w:pPr>
              <w:ind w:firstLine="481"/>
            </w:pPr>
            <w:r>
              <w:rPr>
                <w:rFonts w:ascii="Arial" w:eastAsia="Arial" w:hAnsi="Arial" w:cs="Arial"/>
                <w:sz w:val="18"/>
              </w:rPr>
              <w:t xml:space="preserve">§ 3. Nie podlega karze sprawca przestępstwa określonego w § 1 albo w § 2, jeżeli korzyść majątkowa lub osobista albo ich obietnica zostały przyjęte, a sprawca zawiadomił o tym fakcie organ powołany do ścigania przestępstw i ujawnił wszystkie istotne okoliczności przestępstwa, zanim organ ten o nim się dowiedział.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1010"/>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00"/>
            </w:pPr>
            <w:r>
              <w:rPr>
                <w:rFonts w:ascii="Arial" w:eastAsia="Arial" w:hAnsi="Arial" w:cs="Arial"/>
              </w:rPr>
              <w:lastRenderedPageBreak/>
              <w:t xml:space="preserve">art. 250a Kodeksu karnego </w:t>
            </w:r>
          </w:p>
          <w:p w:rsidR="00025B8E" w:rsidRDefault="00C13F2C">
            <w:r>
              <w:rPr>
                <w:rFonts w:ascii="Arial" w:eastAsia="Arial" w:hAnsi="Arial" w:cs="Arial"/>
              </w:rPr>
              <w:t xml:space="preserve">[korupcja wyborcza i referendalna] </w:t>
            </w:r>
          </w:p>
        </w:tc>
        <w:tc>
          <w:tcPr>
            <w:tcW w:w="6359"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rFonts w:ascii="Arial" w:eastAsia="Arial" w:hAnsi="Arial" w:cs="Arial"/>
                <w:b/>
                <w:sz w:val="18"/>
              </w:rPr>
              <w:t xml:space="preserve">Art. 250a </w:t>
            </w:r>
            <w:r>
              <w:rPr>
                <w:rFonts w:ascii="Arial" w:eastAsia="Arial" w:hAnsi="Arial" w:cs="Arial"/>
                <w:sz w:val="18"/>
              </w:rPr>
              <w:t xml:space="preserve">§ 1. Kto, będąc uprawniony do głosowania, przyjmuje korzyść majątkową lub osobistą albo takiej korzyści żąda za głosowanie w określony sposób, podlega karze pozbawienia wolności od 3 miesięcy do lat 5.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32"/>
              <w:jc w:val="center"/>
            </w:pPr>
            <w:r>
              <w:rPr>
                <w:rFonts w:ascii="Arial" w:eastAsia="Arial" w:hAnsi="Arial" w:cs="Arial"/>
              </w:rPr>
              <w:t xml:space="preserve">III.A pkt 2 </w:t>
            </w:r>
          </w:p>
        </w:tc>
      </w:tr>
    </w:tbl>
    <w:p w:rsidR="00025B8E" w:rsidRDefault="00025B8E">
      <w:pPr>
        <w:spacing w:after="0"/>
        <w:ind w:left="-1406" w:right="8"/>
      </w:pPr>
    </w:p>
    <w:tbl>
      <w:tblPr>
        <w:tblStyle w:val="TableGrid"/>
        <w:tblW w:w="13994" w:type="dxa"/>
        <w:tblInd w:w="17" w:type="dxa"/>
        <w:tblCellMar>
          <w:top w:w="33" w:type="dxa"/>
          <w:left w:w="108" w:type="dxa"/>
          <w:right w:w="97" w:type="dxa"/>
        </w:tblCellMar>
        <w:tblLook w:val="04A0" w:firstRow="1" w:lastRow="0" w:firstColumn="1" w:lastColumn="0" w:noHBand="0" w:noVBand="1"/>
      </w:tblPr>
      <w:tblGrid>
        <w:gridCol w:w="2971"/>
        <w:gridCol w:w="6359"/>
        <w:gridCol w:w="4664"/>
      </w:tblGrid>
      <w:tr w:rsidR="00025B8E">
        <w:trPr>
          <w:trHeight w:val="2287"/>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7" w:line="258" w:lineRule="auto"/>
              <w:ind w:firstLine="481"/>
            </w:pPr>
            <w:r>
              <w:rPr>
                <w:rFonts w:ascii="Arial" w:eastAsia="Arial" w:hAnsi="Arial" w:cs="Arial"/>
                <w:sz w:val="18"/>
              </w:rPr>
              <w:t xml:space="preserve">§ 2. Tej samej karze podlega, kto udziela korzyści majątkowej lub osobistej osobie uprawnionej do głosowania, aby skłonić ją do głosowania w określony sposób lub za głosowanie w określony sposób. </w:t>
            </w:r>
          </w:p>
          <w:p w:rsidR="00025B8E" w:rsidRDefault="00C13F2C">
            <w:pPr>
              <w:ind w:left="481"/>
            </w:pPr>
            <w:r>
              <w:rPr>
                <w:rFonts w:ascii="Arial" w:eastAsia="Arial" w:hAnsi="Arial" w:cs="Arial"/>
                <w:sz w:val="18"/>
              </w:rPr>
              <w:t xml:space="preserve">§ 3. W wypadku mniejszej wagi, sprawca czynu określonego w § 1 lub </w:t>
            </w:r>
          </w:p>
          <w:p w:rsidR="00025B8E" w:rsidRDefault="00C13F2C">
            <w:pPr>
              <w:spacing w:after="30" w:line="239" w:lineRule="auto"/>
            </w:pPr>
            <w:r>
              <w:rPr>
                <w:rFonts w:ascii="Arial" w:eastAsia="Arial" w:hAnsi="Arial" w:cs="Arial"/>
                <w:sz w:val="18"/>
              </w:rPr>
              <w:t xml:space="preserve">2 podlega grzywnie, karze ograniczenia wolności albo pozbawienia wolności do lat 2. </w:t>
            </w:r>
          </w:p>
          <w:p w:rsidR="00025B8E" w:rsidRDefault="00C13F2C">
            <w:pPr>
              <w:ind w:firstLine="481"/>
            </w:pPr>
            <w:r>
              <w:rPr>
                <w:rFonts w:ascii="Arial" w:eastAsia="Arial" w:hAnsi="Arial" w:cs="Arial"/>
                <w:sz w:val="18"/>
              </w:rPr>
              <w:t xml:space="preserve">§ 4. Jeżeli sprawca przestępstwa określonego w § 1 albo w § 3 w związku z § 1 zawiadomił organ powołany do ścigania o fakcie przestępstwa i okolicznościach jego popełnienia, zanim organ ten o nich się dowiedział, sąd stosuje nadzwyczajne złagodzenie kary, a nawet może odstąpić od jej wymierzenia.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2701"/>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ind w:right="246"/>
              <w:jc w:val="both"/>
            </w:pPr>
            <w:r>
              <w:rPr>
                <w:rFonts w:ascii="Arial" w:eastAsia="Arial" w:hAnsi="Arial" w:cs="Arial"/>
              </w:rPr>
              <w:t xml:space="preserve">art. 258 Kodeksu karnego [udział w zorganizowanej grupie przestępczej]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8" w:lineRule="auto"/>
            </w:pPr>
            <w:r>
              <w:rPr>
                <w:rFonts w:ascii="Arial" w:eastAsia="Arial" w:hAnsi="Arial" w:cs="Arial"/>
                <w:b/>
                <w:sz w:val="18"/>
              </w:rPr>
              <w:t>Art. 258</w:t>
            </w:r>
            <w:r>
              <w:rPr>
                <w:rFonts w:ascii="Arial" w:eastAsia="Arial" w:hAnsi="Arial" w:cs="Arial"/>
                <w:sz w:val="18"/>
              </w:rPr>
              <w:t xml:space="preserve">. § 1. Kto bierze udział w zorganizowanej grupie albo związku mających na celu popełnienie przestępstwa lub przestępstwa skarbowego, podlega karze pozbawienia wolności od 3 miesięcy do lat 5. </w:t>
            </w:r>
          </w:p>
          <w:p w:rsidR="00025B8E" w:rsidRDefault="00C13F2C">
            <w:pPr>
              <w:spacing w:line="252" w:lineRule="auto"/>
              <w:ind w:right="186"/>
            </w:pPr>
            <w:r>
              <w:rPr>
                <w:rFonts w:ascii="Arial" w:eastAsia="Arial" w:hAnsi="Arial" w:cs="Arial"/>
                <w:sz w:val="18"/>
              </w:rPr>
              <w:t xml:space="preserve">§ 2. Jeżeli grupa albo związek określone w § 1 mają charakter zbrojny albo mają na celu popełnienie przestępstwa o charakterze terrorystycznym, sprawca podlega karze pozbawienia wolności od 6 miesięcy do lat 8. </w:t>
            </w:r>
          </w:p>
          <w:p w:rsidR="00025B8E" w:rsidRDefault="00C13F2C">
            <w:pPr>
              <w:spacing w:line="276" w:lineRule="auto"/>
              <w:ind w:right="49"/>
            </w:pPr>
            <w:r>
              <w:rPr>
                <w:rFonts w:ascii="Arial" w:eastAsia="Arial" w:hAnsi="Arial" w:cs="Arial"/>
                <w:sz w:val="18"/>
              </w:rPr>
              <w:t xml:space="preserve">§ 3. Kto grupę albo związek określone w § 1 w tym mające charakter zbrojny zakłada lub taką grupą albo związkiem kieruje, podlega karze pozbawienia wolności od roku do lat 10. </w:t>
            </w:r>
          </w:p>
          <w:p w:rsidR="00025B8E" w:rsidRDefault="00C13F2C">
            <w:r>
              <w:rPr>
                <w:rFonts w:ascii="Arial" w:eastAsia="Arial" w:hAnsi="Arial" w:cs="Arial"/>
                <w:sz w:val="18"/>
              </w:rPr>
              <w:t xml:space="preserve">§ 4. Kto grupę albo związek mające na celu popełnienie przestępstwa o charakterze terrorystycznym zakłada lub taką grupą lub związkiem kieruje, podlega karze pozbawienia wolności na czas nie krótszy od lat 3.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9"/>
              <w:jc w:val="center"/>
            </w:pPr>
            <w:r>
              <w:rPr>
                <w:rFonts w:ascii="Arial" w:eastAsia="Arial" w:hAnsi="Arial" w:cs="Arial"/>
              </w:rPr>
              <w:t xml:space="preserve">III.A pkt 1 </w:t>
            </w:r>
          </w:p>
        </w:tc>
      </w:tr>
      <w:tr w:rsidR="00025B8E">
        <w:trPr>
          <w:trHeight w:val="3737"/>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22" w:line="238" w:lineRule="auto"/>
            </w:pPr>
            <w:r>
              <w:rPr>
                <w:rFonts w:ascii="Arial" w:eastAsia="Arial" w:hAnsi="Arial" w:cs="Arial"/>
              </w:rPr>
              <w:lastRenderedPageBreak/>
              <w:t xml:space="preserve">art. 270-277 Kodeksu karnego </w:t>
            </w:r>
          </w:p>
          <w:p w:rsidR="00025B8E" w:rsidRDefault="00C13F2C">
            <w:pPr>
              <w:ind w:right="2"/>
            </w:pPr>
            <w:r>
              <w:rPr>
                <w:rFonts w:ascii="Arial" w:eastAsia="Arial" w:hAnsi="Arial" w:cs="Arial"/>
              </w:rPr>
              <w:t xml:space="preserve">[przestępstwa przeciwko wiarygodności dokumentów]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65" w:lineRule="auto"/>
            </w:pPr>
            <w:r>
              <w:rPr>
                <w:rFonts w:ascii="Arial" w:eastAsia="Arial" w:hAnsi="Arial" w:cs="Arial"/>
                <w:b/>
                <w:sz w:val="18"/>
              </w:rPr>
              <w:t>Art. 270.</w:t>
            </w:r>
            <w:r>
              <w:rPr>
                <w:rFonts w:ascii="Arial" w:eastAsia="Arial" w:hAnsi="Arial" w:cs="Arial"/>
                <w:sz w:val="18"/>
              </w:rPr>
              <w:t xml:space="preserve"> § 1. Kto, w celu użycia za autentyczny, podrabia lub przerabia dokument lub takiego dokumentu jako autentycznego używa, podlega grzywnie, karze ograniczenia wolności albo pozbawienia wolności od 3 miesięcy do lat 5. </w:t>
            </w:r>
          </w:p>
          <w:p w:rsidR="00025B8E" w:rsidRDefault="00C13F2C">
            <w:pPr>
              <w:ind w:left="709"/>
            </w:pPr>
            <w:r>
              <w:rPr>
                <w:rFonts w:ascii="Arial" w:eastAsia="Arial" w:hAnsi="Arial" w:cs="Arial"/>
                <w:sz w:val="18"/>
              </w:rPr>
              <w:t xml:space="preserve">§ 2. Tej samej karze podlega, kto wypełnia blankiet, zaopatrzony </w:t>
            </w:r>
          </w:p>
          <w:p w:rsidR="00025B8E" w:rsidRDefault="00C13F2C">
            <w:pPr>
              <w:spacing w:line="278" w:lineRule="auto"/>
            </w:pPr>
            <w:r>
              <w:rPr>
                <w:rFonts w:ascii="Arial" w:eastAsia="Arial" w:hAnsi="Arial" w:cs="Arial"/>
                <w:sz w:val="18"/>
              </w:rPr>
              <w:t xml:space="preserve">cudzym podpisem, niezgodnie z wolą podpisanego i na jego szkodę albo takiego dokumentu używa. </w:t>
            </w:r>
          </w:p>
          <w:p w:rsidR="00025B8E" w:rsidRDefault="00C13F2C">
            <w:pPr>
              <w:spacing w:after="14"/>
              <w:ind w:right="84"/>
              <w:jc w:val="right"/>
            </w:pPr>
            <w:r>
              <w:rPr>
                <w:rFonts w:ascii="Arial" w:eastAsia="Arial" w:hAnsi="Arial" w:cs="Arial"/>
                <w:sz w:val="18"/>
              </w:rPr>
              <w:t xml:space="preserve">§ 2a. W wypadku mniejszej wagi, sprawca podlega grzywnie, karze </w:t>
            </w:r>
          </w:p>
          <w:p w:rsidR="00025B8E" w:rsidRDefault="00C13F2C">
            <w:r>
              <w:rPr>
                <w:rFonts w:ascii="Arial" w:eastAsia="Arial" w:hAnsi="Arial" w:cs="Arial"/>
                <w:sz w:val="18"/>
              </w:rPr>
              <w:t xml:space="preserve">ograniczenia wolności albo pozbawienia wolności do lat 2. </w:t>
            </w:r>
          </w:p>
          <w:p w:rsidR="00025B8E" w:rsidRDefault="00C13F2C">
            <w:pPr>
              <w:spacing w:after="9"/>
              <w:ind w:left="709"/>
            </w:pPr>
            <w:r>
              <w:rPr>
                <w:rFonts w:ascii="Arial" w:eastAsia="Arial" w:hAnsi="Arial" w:cs="Arial"/>
                <w:sz w:val="18"/>
              </w:rPr>
              <w:t xml:space="preserve">§ 3. Kto czyni przygotowania do przestępstwa określonego w § 1, </w:t>
            </w:r>
          </w:p>
          <w:p w:rsidR="00025B8E" w:rsidRDefault="00C13F2C">
            <w:pPr>
              <w:spacing w:after="23" w:line="239" w:lineRule="auto"/>
            </w:pPr>
            <w:r>
              <w:rPr>
                <w:rFonts w:ascii="Arial" w:eastAsia="Arial" w:hAnsi="Arial" w:cs="Arial"/>
                <w:sz w:val="18"/>
              </w:rPr>
              <w:t xml:space="preserve">podlega grzywnie, karze ograniczenia wolności albo pozbawienia wolności do lat 2. </w:t>
            </w:r>
          </w:p>
          <w:p w:rsidR="00025B8E" w:rsidRDefault="00C13F2C">
            <w:pPr>
              <w:spacing w:line="266" w:lineRule="auto"/>
            </w:pPr>
            <w:r>
              <w:rPr>
                <w:rFonts w:ascii="Arial" w:eastAsia="Arial" w:hAnsi="Arial" w:cs="Arial"/>
                <w:b/>
                <w:sz w:val="18"/>
              </w:rPr>
              <w:t>Art. 271.</w:t>
            </w:r>
            <w:r>
              <w:rPr>
                <w:rFonts w:ascii="Arial" w:eastAsia="Arial" w:hAnsi="Arial" w:cs="Arial"/>
                <w:sz w:val="18"/>
              </w:rPr>
              <w:t xml:space="preserve"> § 1. Funkcjonariusz publiczny lub inna osoba uprawniona do wystawienia dokumentu, która poświadcza w nim nieprawdę co do okoliczności mającej znaczenie prawne, podlega karze pozbawienia wolności od 3 miesięcy do lat 5. </w:t>
            </w:r>
          </w:p>
          <w:p w:rsidR="00025B8E" w:rsidRDefault="00C13F2C">
            <w:pPr>
              <w:spacing w:after="14"/>
              <w:ind w:left="709"/>
            </w:pPr>
            <w:r>
              <w:rPr>
                <w:rFonts w:ascii="Arial" w:eastAsia="Arial" w:hAnsi="Arial" w:cs="Arial"/>
                <w:sz w:val="18"/>
              </w:rPr>
              <w:t xml:space="preserve">§ 2. W wypadku mniejszej wagi, sprawca podlega grzywnie albo </w:t>
            </w:r>
          </w:p>
          <w:p w:rsidR="00025B8E" w:rsidRDefault="00C13F2C">
            <w:r>
              <w:rPr>
                <w:rFonts w:ascii="Arial" w:eastAsia="Arial" w:hAnsi="Arial" w:cs="Arial"/>
                <w:sz w:val="18"/>
              </w:rPr>
              <w:t xml:space="preserve">karze ograniczenia wolności.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10"/>
              <w:jc w:val="center"/>
            </w:pPr>
            <w:r>
              <w:rPr>
                <w:rFonts w:ascii="Arial" w:eastAsia="Arial" w:hAnsi="Arial" w:cs="Arial"/>
              </w:rPr>
              <w:t xml:space="preserve">III.D </w:t>
            </w:r>
          </w:p>
        </w:tc>
      </w:tr>
    </w:tbl>
    <w:p w:rsidR="00025B8E" w:rsidRDefault="00025B8E">
      <w:pPr>
        <w:spacing w:after="0"/>
        <w:ind w:left="-1406" w:right="8"/>
      </w:pPr>
    </w:p>
    <w:tbl>
      <w:tblPr>
        <w:tblStyle w:val="TableGrid"/>
        <w:tblW w:w="13994" w:type="dxa"/>
        <w:tblInd w:w="17" w:type="dxa"/>
        <w:tblCellMar>
          <w:top w:w="33" w:type="dxa"/>
          <w:left w:w="108" w:type="dxa"/>
          <w:right w:w="103" w:type="dxa"/>
        </w:tblCellMar>
        <w:tblLook w:val="04A0" w:firstRow="1" w:lastRow="0" w:firstColumn="1" w:lastColumn="0" w:noHBand="0" w:noVBand="1"/>
      </w:tblPr>
      <w:tblGrid>
        <w:gridCol w:w="2971"/>
        <w:gridCol w:w="6359"/>
        <w:gridCol w:w="4664"/>
      </w:tblGrid>
      <w:tr w:rsidR="00025B8E">
        <w:trPr>
          <w:trHeight w:val="5185"/>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9"/>
              <w:ind w:left="709"/>
            </w:pPr>
            <w:r>
              <w:rPr>
                <w:rFonts w:ascii="Arial" w:eastAsia="Arial" w:hAnsi="Arial" w:cs="Arial"/>
                <w:sz w:val="18"/>
              </w:rPr>
              <w:t xml:space="preserve">§ 3. Jeżeli sprawca dopuszcza się czynu określonego w § 1 w celu </w:t>
            </w:r>
          </w:p>
          <w:p w:rsidR="00025B8E" w:rsidRDefault="00C13F2C">
            <w:pPr>
              <w:spacing w:line="276" w:lineRule="auto"/>
            </w:pPr>
            <w:r>
              <w:rPr>
                <w:rFonts w:ascii="Arial" w:eastAsia="Arial" w:hAnsi="Arial" w:cs="Arial"/>
                <w:sz w:val="18"/>
              </w:rPr>
              <w:t xml:space="preserve">osiągnięcia korzyści majątkowej lub osobistej, podlega karze pozbawienia wolności od 6 miesięcy do lat 8. </w:t>
            </w:r>
          </w:p>
          <w:p w:rsidR="00025B8E" w:rsidRDefault="00C13F2C">
            <w:pPr>
              <w:spacing w:after="13" w:line="253" w:lineRule="auto"/>
            </w:pPr>
            <w:r>
              <w:rPr>
                <w:rFonts w:ascii="Arial" w:eastAsia="Arial" w:hAnsi="Arial" w:cs="Arial"/>
                <w:b/>
                <w:sz w:val="18"/>
              </w:rPr>
              <w:t>Art. 272.</w:t>
            </w:r>
            <w:r>
              <w:rPr>
                <w:rFonts w:ascii="Arial" w:eastAsia="Arial" w:hAnsi="Arial" w:cs="Arial"/>
                <w:sz w:val="18"/>
              </w:rPr>
              <w:t xml:space="preserve"> Kto wyłudza poświadczenie nieprawdy przez podstępne wprowadzenie w błąd funkcjonariusza publicznego lub innej osoby upoważnionej do wystawienia dokumentu, podlega karze pozbawienia wolności do lat 3. </w:t>
            </w:r>
          </w:p>
          <w:p w:rsidR="00025B8E" w:rsidRDefault="00C13F2C">
            <w:pPr>
              <w:spacing w:after="3" w:line="263" w:lineRule="auto"/>
            </w:pPr>
            <w:r>
              <w:rPr>
                <w:rFonts w:ascii="Arial" w:eastAsia="Arial" w:hAnsi="Arial" w:cs="Arial"/>
                <w:b/>
                <w:sz w:val="18"/>
              </w:rPr>
              <w:t>Art. 273.</w:t>
            </w:r>
            <w:r>
              <w:rPr>
                <w:rFonts w:ascii="Arial" w:eastAsia="Arial" w:hAnsi="Arial" w:cs="Arial"/>
                <w:sz w:val="18"/>
              </w:rPr>
              <w:t xml:space="preserve"> Kto używa dokumentu określonego w art. 271 lub 272, podlega grzywnie, karze ograniczenia wolności albo pozbawienia wolności do lat 2. </w:t>
            </w:r>
            <w:r>
              <w:rPr>
                <w:rFonts w:ascii="Arial" w:eastAsia="Arial" w:hAnsi="Arial" w:cs="Arial"/>
                <w:b/>
                <w:sz w:val="18"/>
              </w:rPr>
              <w:t>Art. 274.</w:t>
            </w:r>
            <w:r>
              <w:rPr>
                <w:rFonts w:ascii="Arial" w:eastAsia="Arial" w:hAnsi="Arial" w:cs="Arial"/>
                <w:sz w:val="18"/>
              </w:rPr>
              <w:t xml:space="preserve"> Kto zbywa własny lub cudzy dokument stwierdzający tożsamość, podlega grzywnie, karze ograniczenia wolności albo pozbawienia wolności do lat 2. </w:t>
            </w:r>
          </w:p>
          <w:p w:rsidR="00025B8E" w:rsidRDefault="00C13F2C">
            <w:pPr>
              <w:spacing w:line="249" w:lineRule="auto"/>
            </w:pPr>
            <w:r>
              <w:rPr>
                <w:rFonts w:ascii="Arial" w:eastAsia="Arial" w:hAnsi="Arial" w:cs="Arial"/>
                <w:b/>
                <w:sz w:val="18"/>
              </w:rPr>
              <w:t>Art. 275.</w:t>
            </w:r>
            <w:r>
              <w:rPr>
                <w:rFonts w:ascii="Arial" w:eastAsia="Arial" w:hAnsi="Arial" w:cs="Arial"/>
                <w:sz w:val="18"/>
              </w:rPr>
              <w:t xml:space="preserve"> § 1. Kto posługuje się dokumentem stwierdzającym tożsamość innej osoby albo jej prawa majątkowe lub dokument taki kradnie lub go przywłaszcza, podlega grzywnie, karze ograniczenia wolności albo pozbawienia wolności do lat 2. </w:t>
            </w:r>
          </w:p>
          <w:p w:rsidR="00025B8E" w:rsidRDefault="00C13F2C">
            <w:pPr>
              <w:ind w:left="709"/>
            </w:pPr>
            <w:r>
              <w:rPr>
                <w:rFonts w:ascii="Arial" w:eastAsia="Arial" w:hAnsi="Arial" w:cs="Arial"/>
                <w:sz w:val="18"/>
              </w:rPr>
              <w:t xml:space="preserve">§ 2. Tej samej karze podlega, kto bezprawnie przewozi, przenosi </w:t>
            </w:r>
          </w:p>
          <w:p w:rsidR="00025B8E" w:rsidRDefault="00C13F2C">
            <w:pPr>
              <w:spacing w:line="275" w:lineRule="auto"/>
            </w:pPr>
            <w:r>
              <w:rPr>
                <w:rFonts w:ascii="Arial" w:eastAsia="Arial" w:hAnsi="Arial" w:cs="Arial"/>
                <w:sz w:val="18"/>
              </w:rPr>
              <w:t xml:space="preserve">lub przesyła za granicę dokument stwierdzający tożsamość innej osoby albo jej prawa majątkowe. </w:t>
            </w:r>
          </w:p>
          <w:p w:rsidR="00025B8E" w:rsidRDefault="00C13F2C">
            <w:pPr>
              <w:spacing w:line="277" w:lineRule="auto"/>
            </w:pPr>
            <w:r>
              <w:rPr>
                <w:rFonts w:ascii="Arial" w:eastAsia="Arial" w:hAnsi="Arial" w:cs="Arial"/>
                <w:b/>
                <w:sz w:val="18"/>
              </w:rPr>
              <w:t>Art. 276.</w:t>
            </w:r>
            <w:r>
              <w:rPr>
                <w:rFonts w:ascii="Arial" w:eastAsia="Arial" w:hAnsi="Arial" w:cs="Arial"/>
                <w:sz w:val="18"/>
              </w:rPr>
              <w:t xml:space="preserve"> Kto niszczy, uszkadza, czyni bezużytecznym, ukrywa lub usuwa dokument, którym nie ma prawa wyłącznie rozporządzać, podlega grzywnie, karze ograniczenia wolności albo pozbawienia wolności do lat 2. </w:t>
            </w:r>
          </w:p>
          <w:p w:rsidR="00025B8E" w:rsidRDefault="00C13F2C">
            <w:r>
              <w:rPr>
                <w:rFonts w:ascii="Arial" w:eastAsia="Arial" w:hAnsi="Arial" w:cs="Arial"/>
                <w:b/>
                <w:sz w:val="18"/>
              </w:rPr>
              <w:t>Art. 277.</w:t>
            </w:r>
            <w:r>
              <w:rPr>
                <w:rFonts w:ascii="Arial" w:eastAsia="Arial" w:hAnsi="Arial" w:cs="Arial"/>
                <w:sz w:val="18"/>
              </w:rPr>
              <w:t xml:space="preserve"> Kto znaki graniczne niszczy, uszkadza, usuwa, przesuwa lub czyni niewidocznymi albo fałszywie wystawia, podlega grzywnie, karze ograniczenia wolności albo pozbawienia wolności do lat 2.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3531"/>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18"/>
            </w:pPr>
            <w:r>
              <w:rPr>
                <w:rFonts w:ascii="Arial" w:eastAsia="Arial" w:hAnsi="Arial" w:cs="Arial"/>
              </w:rPr>
              <w:lastRenderedPageBreak/>
              <w:t xml:space="preserve">art. 278-295 Kodeksu karnego </w:t>
            </w:r>
          </w:p>
          <w:p w:rsidR="00025B8E" w:rsidRDefault="00C13F2C">
            <w:r>
              <w:rPr>
                <w:rFonts w:ascii="Arial" w:eastAsia="Arial" w:hAnsi="Arial" w:cs="Arial"/>
              </w:rPr>
              <w:t xml:space="preserve">[przestępstwa przeciwko mieniu]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6" w:lineRule="auto"/>
            </w:pPr>
            <w:r>
              <w:rPr>
                <w:rFonts w:ascii="Arial" w:eastAsia="Arial" w:hAnsi="Arial" w:cs="Arial"/>
                <w:b/>
                <w:sz w:val="18"/>
              </w:rPr>
              <w:t>Art. 278.</w:t>
            </w:r>
            <w:r>
              <w:rPr>
                <w:rFonts w:ascii="Arial" w:eastAsia="Arial" w:hAnsi="Arial" w:cs="Arial"/>
                <w:sz w:val="18"/>
              </w:rPr>
              <w:t xml:space="preserve"> § 1. Kto zabiera w celu przywłaszczenia cudzą rzecz ruchomą, podlega karze pozbawienia wolności od 3 miesięcy do lat 5. </w:t>
            </w:r>
          </w:p>
          <w:p w:rsidR="00025B8E" w:rsidRDefault="00C13F2C">
            <w:pPr>
              <w:ind w:left="709"/>
            </w:pPr>
            <w:r>
              <w:rPr>
                <w:rFonts w:ascii="Arial" w:eastAsia="Arial" w:hAnsi="Arial" w:cs="Arial"/>
                <w:sz w:val="18"/>
              </w:rPr>
              <w:t xml:space="preserve">§ 2. Tej samej karze podlega, kto bez zgody osoby uprawnionej </w:t>
            </w:r>
          </w:p>
          <w:p w:rsidR="00025B8E" w:rsidRDefault="00C13F2C">
            <w:pPr>
              <w:spacing w:line="274" w:lineRule="auto"/>
            </w:pPr>
            <w:r>
              <w:rPr>
                <w:rFonts w:ascii="Arial" w:eastAsia="Arial" w:hAnsi="Arial" w:cs="Arial"/>
                <w:sz w:val="18"/>
              </w:rPr>
              <w:t xml:space="preserve">uzyskuje cudzy program komputerowy w celu osiągnięcia korzyści majątkowej. </w:t>
            </w:r>
          </w:p>
          <w:p w:rsidR="00025B8E" w:rsidRDefault="00C13F2C">
            <w:pPr>
              <w:spacing w:after="11"/>
              <w:ind w:left="709"/>
            </w:pPr>
            <w:r>
              <w:rPr>
                <w:rFonts w:ascii="Arial" w:eastAsia="Arial" w:hAnsi="Arial" w:cs="Arial"/>
                <w:sz w:val="18"/>
              </w:rPr>
              <w:t xml:space="preserve">§ 3. W wypadku mniejszej wagi, sprawca podlega grzywnie, karze </w:t>
            </w:r>
          </w:p>
          <w:p w:rsidR="00025B8E" w:rsidRDefault="00C13F2C">
            <w:r>
              <w:rPr>
                <w:rFonts w:ascii="Arial" w:eastAsia="Arial" w:hAnsi="Arial" w:cs="Arial"/>
                <w:sz w:val="18"/>
              </w:rPr>
              <w:t xml:space="preserve">ograniczenia wolności albo pozbawienia wolności do roku. </w:t>
            </w:r>
          </w:p>
          <w:p w:rsidR="00025B8E" w:rsidRDefault="00C13F2C">
            <w:pPr>
              <w:spacing w:after="14"/>
              <w:ind w:left="709"/>
            </w:pPr>
            <w:r>
              <w:rPr>
                <w:rFonts w:ascii="Arial" w:eastAsia="Arial" w:hAnsi="Arial" w:cs="Arial"/>
                <w:sz w:val="18"/>
              </w:rPr>
              <w:t xml:space="preserve">§ 4. Jeżeli kradzież popełniono na szkodę osoby najbliższej, </w:t>
            </w:r>
          </w:p>
          <w:p w:rsidR="00025B8E" w:rsidRDefault="00C13F2C">
            <w:r>
              <w:rPr>
                <w:rFonts w:ascii="Arial" w:eastAsia="Arial" w:hAnsi="Arial" w:cs="Arial"/>
                <w:sz w:val="18"/>
              </w:rPr>
              <w:t xml:space="preserve">ściganie następuje na wniosek pokrzywdzonego. </w:t>
            </w:r>
          </w:p>
          <w:p w:rsidR="00025B8E" w:rsidRDefault="00C13F2C">
            <w:pPr>
              <w:spacing w:after="17"/>
              <w:ind w:left="709"/>
            </w:pPr>
            <w:r>
              <w:rPr>
                <w:rFonts w:ascii="Arial" w:eastAsia="Arial" w:hAnsi="Arial" w:cs="Arial"/>
                <w:sz w:val="18"/>
              </w:rPr>
              <w:t xml:space="preserve">§ 5. Przepisy § 1, 3 i 4 stosuje się odpowiednio do kradzieży energii </w:t>
            </w:r>
          </w:p>
          <w:p w:rsidR="00025B8E" w:rsidRDefault="00C13F2C">
            <w:pPr>
              <w:spacing w:line="274" w:lineRule="auto"/>
              <w:ind w:right="216"/>
            </w:pPr>
            <w:r>
              <w:rPr>
                <w:rFonts w:ascii="Arial" w:eastAsia="Arial" w:hAnsi="Arial" w:cs="Arial"/>
                <w:sz w:val="18"/>
              </w:rPr>
              <w:t xml:space="preserve">lub karty uprawniającej do podjęcia pieniędzy z automatu bankowego. </w:t>
            </w:r>
            <w:r>
              <w:rPr>
                <w:rFonts w:ascii="Arial" w:eastAsia="Arial" w:hAnsi="Arial" w:cs="Arial"/>
                <w:b/>
                <w:sz w:val="18"/>
              </w:rPr>
              <w:t>Art. 279.</w:t>
            </w:r>
            <w:r>
              <w:rPr>
                <w:rFonts w:ascii="Arial" w:eastAsia="Arial" w:hAnsi="Arial" w:cs="Arial"/>
                <w:sz w:val="18"/>
              </w:rPr>
              <w:t xml:space="preserve"> § 1. Kto kradnie z włamaniem, podlega karze pozbawienia wolności od roku do lat 10. </w:t>
            </w:r>
          </w:p>
          <w:p w:rsidR="00025B8E" w:rsidRDefault="00C13F2C">
            <w:pPr>
              <w:spacing w:after="17"/>
              <w:ind w:left="709"/>
            </w:pPr>
            <w:r>
              <w:rPr>
                <w:rFonts w:ascii="Arial" w:eastAsia="Arial" w:hAnsi="Arial" w:cs="Arial"/>
                <w:sz w:val="18"/>
              </w:rPr>
              <w:t xml:space="preserve">§ 2. Jeżeli kradzież z włamaniem popełniono na szkodę osoby </w:t>
            </w:r>
          </w:p>
          <w:p w:rsidR="00025B8E" w:rsidRDefault="00C13F2C">
            <w:pPr>
              <w:spacing w:after="6"/>
            </w:pPr>
            <w:r>
              <w:rPr>
                <w:rFonts w:ascii="Arial" w:eastAsia="Arial" w:hAnsi="Arial" w:cs="Arial"/>
                <w:sz w:val="18"/>
              </w:rPr>
              <w:t xml:space="preserve">najbliższej, ściganie następuje na wniosek pokrzywdzonego. </w:t>
            </w:r>
          </w:p>
          <w:p w:rsidR="00025B8E" w:rsidRDefault="00C13F2C">
            <w:r>
              <w:rPr>
                <w:rFonts w:ascii="Arial" w:eastAsia="Arial" w:hAnsi="Arial" w:cs="Arial"/>
                <w:b/>
                <w:sz w:val="18"/>
              </w:rPr>
              <w:t>Art. 280.</w:t>
            </w:r>
            <w:r>
              <w:rPr>
                <w:rFonts w:ascii="Arial" w:eastAsia="Arial" w:hAnsi="Arial" w:cs="Arial"/>
                <w:sz w:val="18"/>
              </w:rPr>
              <w:t xml:space="preserve"> § 1. Kto kradnie, używając przemocy wobec osoby lub grożąc natychmiastowym jej użyciem albo doprowadzając człowieka do stanu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4"/>
              <w:jc w:val="center"/>
            </w:pPr>
            <w:r>
              <w:rPr>
                <w:rFonts w:ascii="Arial" w:eastAsia="Arial" w:hAnsi="Arial" w:cs="Arial"/>
              </w:rPr>
              <w:t xml:space="preserve">III.D </w:t>
            </w:r>
          </w:p>
        </w:tc>
      </w:tr>
    </w:tbl>
    <w:p w:rsidR="00025B8E" w:rsidRDefault="00025B8E">
      <w:pPr>
        <w:spacing w:after="0"/>
        <w:ind w:left="-1406" w:right="8"/>
      </w:pPr>
    </w:p>
    <w:tbl>
      <w:tblPr>
        <w:tblStyle w:val="TableGrid"/>
        <w:tblW w:w="13994" w:type="dxa"/>
        <w:tblInd w:w="17" w:type="dxa"/>
        <w:tblCellMar>
          <w:top w:w="42" w:type="dxa"/>
          <w:left w:w="108" w:type="dxa"/>
          <w:right w:w="124" w:type="dxa"/>
        </w:tblCellMar>
        <w:tblLook w:val="04A0" w:firstRow="1" w:lastRow="0" w:firstColumn="1" w:lastColumn="0" w:noHBand="0" w:noVBand="1"/>
      </w:tblPr>
      <w:tblGrid>
        <w:gridCol w:w="2971"/>
        <w:gridCol w:w="6359"/>
        <w:gridCol w:w="4664"/>
      </w:tblGrid>
      <w:tr w:rsidR="00025B8E">
        <w:trPr>
          <w:trHeight w:val="8704"/>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39" w:lineRule="auto"/>
            </w:pPr>
            <w:r>
              <w:rPr>
                <w:rFonts w:ascii="Arial" w:eastAsia="Arial" w:hAnsi="Arial" w:cs="Arial"/>
                <w:sz w:val="18"/>
              </w:rPr>
              <w:t xml:space="preserve">nieprzytomności lub bezbronności, podlega karze pozbawienia wolności od lat 2 do 12. </w:t>
            </w:r>
          </w:p>
          <w:p w:rsidR="00025B8E" w:rsidRDefault="00C13F2C">
            <w:pPr>
              <w:spacing w:after="10"/>
              <w:ind w:left="709"/>
            </w:pPr>
            <w:r>
              <w:rPr>
                <w:rFonts w:ascii="Arial" w:eastAsia="Arial" w:hAnsi="Arial" w:cs="Arial"/>
                <w:sz w:val="18"/>
              </w:rPr>
              <w:t xml:space="preserve">§ 2. Jeżeli sprawca rozboju posługuje się bronią palną, nożem lub </w:t>
            </w:r>
          </w:p>
          <w:p w:rsidR="00025B8E" w:rsidRDefault="00C13F2C">
            <w:r>
              <w:rPr>
                <w:rFonts w:ascii="Arial" w:eastAsia="Arial" w:hAnsi="Arial" w:cs="Arial"/>
                <w:sz w:val="18"/>
              </w:rPr>
              <w:t xml:space="preserve">innym podobnie niebezpiecznym przedmiotem lub środkiem </w:t>
            </w:r>
          </w:p>
          <w:p w:rsidR="00025B8E" w:rsidRDefault="00C13F2C">
            <w:pPr>
              <w:spacing w:after="15" w:line="249" w:lineRule="auto"/>
            </w:pPr>
            <w:r>
              <w:rPr>
                <w:rFonts w:ascii="Arial" w:eastAsia="Arial" w:hAnsi="Arial" w:cs="Arial"/>
                <w:sz w:val="18"/>
              </w:rPr>
              <w:t xml:space="preserve">obezwładniającym albo działa w inny sposób bezpośrednio zagrażający życiu lub wspólnie z inną osobą, która posługuje się taką bronią, przedmiotem, środkiem lub sposobem, podlega karze pozbawienia wolności na czas nie krótszy od lat 3. </w:t>
            </w:r>
          </w:p>
          <w:p w:rsidR="00025B8E" w:rsidRDefault="00C13F2C">
            <w:pPr>
              <w:spacing w:after="21" w:line="242" w:lineRule="auto"/>
            </w:pPr>
            <w:r>
              <w:rPr>
                <w:rFonts w:ascii="Arial" w:eastAsia="Arial" w:hAnsi="Arial" w:cs="Arial"/>
                <w:b/>
                <w:sz w:val="18"/>
              </w:rPr>
              <w:t>Art. 281.</w:t>
            </w:r>
            <w:r>
              <w:rPr>
                <w:rFonts w:ascii="Arial" w:eastAsia="Arial" w:hAnsi="Arial" w:cs="Arial"/>
                <w:sz w:val="18"/>
              </w:rPr>
              <w:t xml:space="preserve"> Kto, w celu utrzymania się w posiadaniu zabranej rzeczy, bezpośrednio po dokonaniu kradzieży, używa przemocy wobec osoby lub grozi natychmiastowym jej użyciem albo doprowadza człowieka do stanu nieprzytomności lub bezbronności, podlega karze pozbawienia wolności od roku do lat 10. </w:t>
            </w:r>
          </w:p>
          <w:p w:rsidR="00025B8E" w:rsidRDefault="00C13F2C">
            <w:pPr>
              <w:spacing w:after="7"/>
            </w:pPr>
            <w:r>
              <w:rPr>
                <w:rFonts w:ascii="Arial" w:eastAsia="Arial" w:hAnsi="Arial" w:cs="Arial"/>
                <w:b/>
                <w:sz w:val="18"/>
              </w:rPr>
              <w:t>Art. 282.</w:t>
            </w:r>
            <w:r>
              <w:rPr>
                <w:rFonts w:ascii="Arial" w:eastAsia="Arial" w:hAnsi="Arial" w:cs="Arial"/>
                <w:sz w:val="18"/>
              </w:rPr>
              <w:t xml:space="preserve"> Kto, w celu osiągnięcia korzyści majątkowej, przemocą, groźbą zamachu na życie lub zdrowie albo gwałtownego zamachu na mienie, doprowadza inną osobę do rozporządzenia mieniem własnym lub cudzym albo do zaprzestania działalności gospodarczej, podlega karze pozbawienia wolności od roku do lat 10. </w:t>
            </w:r>
          </w:p>
          <w:p w:rsidR="00025B8E" w:rsidRDefault="00C13F2C">
            <w:pPr>
              <w:spacing w:after="21"/>
            </w:pPr>
            <w:r>
              <w:rPr>
                <w:rFonts w:ascii="Arial" w:eastAsia="Arial" w:hAnsi="Arial" w:cs="Arial"/>
                <w:b/>
                <w:sz w:val="18"/>
              </w:rPr>
              <w:t>Art. 283</w:t>
            </w:r>
            <w:r>
              <w:rPr>
                <w:rFonts w:ascii="Arial" w:eastAsia="Arial" w:hAnsi="Arial" w:cs="Arial"/>
                <w:sz w:val="18"/>
              </w:rPr>
              <w:t xml:space="preserve">. W wypadku mniejszej wagi, sprawca czynu określonego w art. 279 </w:t>
            </w:r>
          </w:p>
          <w:p w:rsidR="00025B8E" w:rsidRDefault="00C13F2C">
            <w:pPr>
              <w:spacing w:line="275" w:lineRule="auto"/>
            </w:pPr>
            <w:r>
              <w:rPr>
                <w:rFonts w:ascii="Arial" w:eastAsia="Arial" w:hAnsi="Arial" w:cs="Arial"/>
                <w:sz w:val="18"/>
              </w:rPr>
              <w:t xml:space="preserve">§ 1, art. 280 § 1 lub w art. 281 lub 282, podlega karze pozbawienia wolności od 3 miesięcy do lat 5. </w:t>
            </w:r>
          </w:p>
          <w:p w:rsidR="00025B8E" w:rsidRDefault="00C13F2C">
            <w:pPr>
              <w:spacing w:line="281" w:lineRule="auto"/>
              <w:jc w:val="both"/>
            </w:pPr>
            <w:r>
              <w:rPr>
                <w:rFonts w:ascii="Arial" w:eastAsia="Arial" w:hAnsi="Arial" w:cs="Arial"/>
                <w:b/>
                <w:sz w:val="18"/>
              </w:rPr>
              <w:t>Art. 284.</w:t>
            </w:r>
            <w:r>
              <w:rPr>
                <w:rFonts w:ascii="Arial" w:eastAsia="Arial" w:hAnsi="Arial" w:cs="Arial"/>
                <w:sz w:val="18"/>
              </w:rPr>
              <w:t xml:space="preserve"> § 1. Kto przywłaszcza sobie cudzą rzecz ruchomą lub prawo majątkowe, podlega karze pozbawienia wolności do lat 3. </w:t>
            </w:r>
          </w:p>
          <w:p w:rsidR="00025B8E" w:rsidRDefault="00C13F2C">
            <w:pPr>
              <w:spacing w:after="10"/>
              <w:ind w:left="709"/>
            </w:pPr>
            <w:r>
              <w:rPr>
                <w:rFonts w:ascii="Arial" w:eastAsia="Arial" w:hAnsi="Arial" w:cs="Arial"/>
                <w:sz w:val="18"/>
              </w:rPr>
              <w:t xml:space="preserve">§ 2. Kto przywłaszcza sobie powierzoną mu rzecz ruchomą, </w:t>
            </w:r>
          </w:p>
          <w:p w:rsidR="00025B8E" w:rsidRDefault="00C13F2C">
            <w:r>
              <w:rPr>
                <w:rFonts w:ascii="Arial" w:eastAsia="Arial" w:hAnsi="Arial" w:cs="Arial"/>
                <w:sz w:val="18"/>
              </w:rPr>
              <w:t xml:space="preserve">podlega karze pozbawienia wolności od 3 miesięcy do lat 5. </w:t>
            </w:r>
          </w:p>
          <w:p w:rsidR="00025B8E" w:rsidRDefault="00C13F2C">
            <w:pPr>
              <w:ind w:left="709"/>
            </w:pPr>
            <w:r>
              <w:rPr>
                <w:rFonts w:ascii="Arial" w:eastAsia="Arial" w:hAnsi="Arial" w:cs="Arial"/>
                <w:sz w:val="18"/>
              </w:rPr>
              <w:t xml:space="preserve">§ 3. W wypadku mniejszej wagi lub przywłaszczenia rzeczy </w:t>
            </w:r>
          </w:p>
          <w:p w:rsidR="00025B8E" w:rsidRDefault="00C13F2C">
            <w:pPr>
              <w:spacing w:line="278" w:lineRule="auto"/>
              <w:jc w:val="both"/>
            </w:pPr>
            <w:r>
              <w:rPr>
                <w:rFonts w:ascii="Arial" w:eastAsia="Arial" w:hAnsi="Arial" w:cs="Arial"/>
                <w:sz w:val="18"/>
              </w:rPr>
              <w:t xml:space="preserve">znalezionej, sprawca podlega grzywnie, karze ograniczenia wolności albo pozbawienia wolności do roku. </w:t>
            </w:r>
          </w:p>
          <w:p w:rsidR="00025B8E" w:rsidRDefault="00C13F2C">
            <w:pPr>
              <w:ind w:left="709"/>
            </w:pPr>
            <w:r>
              <w:rPr>
                <w:rFonts w:ascii="Arial" w:eastAsia="Arial" w:hAnsi="Arial" w:cs="Arial"/>
                <w:sz w:val="18"/>
              </w:rPr>
              <w:t xml:space="preserve">§ 4. Jeżeli przywłaszczenie nastąpiło na szkodę osoby najbliższej, </w:t>
            </w:r>
          </w:p>
          <w:p w:rsidR="00025B8E" w:rsidRDefault="00C13F2C">
            <w:pPr>
              <w:spacing w:after="6"/>
            </w:pPr>
            <w:r>
              <w:rPr>
                <w:rFonts w:ascii="Arial" w:eastAsia="Arial" w:hAnsi="Arial" w:cs="Arial"/>
                <w:sz w:val="18"/>
              </w:rPr>
              <w:t xml:space="preserve">ściganie następuje na wniosek pokrzywdzonego. </w:t>
            </w:r>
          </w:p>
          <w:p w:rsidR="00025B8E" w:rsidRDefault="00C13F2C">
            <w:pPr>
              <w:spacing w:line="262" w:lineRule="auto"/>
            </w:pPr>
            <w:r>
              <w:rPr>
                <w:rFonts w:ascii="Arial" w:eastAsia="Arial" w:hAnsi="Arial" w:cs="Arial"/>
                <w:b/>
                <w:sz w:val="18"/>
              </w:rPr>
              <w:t>Art. 285.</w:t>
            </w:r>
            <w:r>
              <w:rPr>
                <w:rFonts w:ascii="Arial" w:eastAsia="Arial" w:hAnsi="Arial" w:cs="Arial"/>
                <w:sz w:val="18"/>
              </w:rPr>
              <w:t xml:space="preserve"> § 1. Kto, włączając się do urządzenia telekomunikacyjnego, uruchamia na cudzy rachunek impulsy telefoniczne, podlega karze pozbawienia wolności do lat 3. </w:t>
            </w:r>
          </w:p>
          <w:p w:rsidR="00025B8E" w:rsidRDefault="00C13F2C">
            <w:pPr>
              <w:spacing w:after="12"/>
              <w:ind w:left="709"/>
            </w:pPr>
            <w:r>
              <w:rPr>
                <w:rFonts w:ascii="Arial" w:eastAsia="Arial" w:hAnsi="Arial" w:cs="Arial"/>
                <w:sz w:val="18"/>
              </w:rPr>
              <w:t xml:space="preserve">§ 2. Jeżeli czyn określony w § 1 popełniono na szkodę osoby </w:t>
            </w:r>
          </w:p>
          <w:p w:rsidR="00025B8E" w:rsidRDefault="00C13F2C">
            <w:pPr>
              <w:spacing w:after="6"/>
            </w:pPr>
            <w:r>
              <w:rPr>
                <w:rFonts w:ascii="Arial" w:eastAsia="Arial" w:hAnsi="Arial" w:cs="Arial"/>
                <w:sz w:val="18"/>
              </w:rPr>
              <w:t xml:space="preserve">najbliższej, ściganie następuje na wniosek pokrzywdzonego. </w:t>
            </w:r>
          </w:p>
          <w:p w:rsidR="00025B8E" w:rsidRDefault="00C13F2C">
            <w:pPr>
              <w:spacing w:line="249" w:lineRule="auto"/>
              <w:ind w:right="51"/>
            </w:pPr>
            <w:r>
              <w:rPr>
                <w:rFonts w:ascii="Arial" w:eastAsia="Arial" w:hAnsi="Arial" w:cs="Arial"/>
                <w:b/>
                <w:sz w:val="18"/>
              </w:rPr>
              <w:t>Art. 286.</w:t>
            </w:r>
            <w:r>
              <w:rPr>
                <w:rFonts w:ascii="Arial" w:eastAsia="Arial" w:hAnsi="Arial" w:cs="Arial"/>
                <w:sz w:val="18"/>
              </w:rPr>
              <w:t xml:space="preserve"> § 1.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 2. Tej samej karze podlega, kto żąda korzyści majątkowej w </w:t>
            </w:r>
          </w:p>
          <w:p w:rsidR="00025B8E" w:rsidRDefault="00C13F2C">
            <w:r>
              <w:rPr>
                <w:rFonts w:ascii="Arial" w:eastAsia="Arial" w:hAnsi="Arial" w:cs="Arial"/>
                <w:sz w:val="18"/>
              </w:rPr>
              <w:lastRenderedPageBreak/>
              <w:t xml:space="preserve">zamian za zwrot bezprawnie zabranej rzeczy.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25" w:type="dxa"/>
          <w:left w:w="108" w:type="dxa"/>
          <w:right w:w="115" w:type="dxa"/>
        </w:tblCellMar>
        <w:tblLook w:val="04A0" w:firstRow="1" w:lastRow="0" w:firstColumn="1" w:lastColumn="0" w:noHBand="0" w:noVBand="1"/>
      </w:tblPr>
      <w:tblGrid>
        <w:gridCol w:w="2971"/>
        <w:gridCol w:w="6359"/>
        <w:gridCol w:w="4664"/>
      </w:tblGrid>
      <w:tr w:rsidR="00025B8E">
        <w:trPr>
          <w:trHeight w:val="8498"/>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5"/>
              <w:ind w:left="709"/>
            </w:pPr>
            <w:r>
              <w:rPr>
                <w:rFonts w:ascii="Arial" w:eastAsia="Arial" w:hAnsi="Arial" w:cs="Arial"/>
                <w:sz w:val="18"/>
              </w:rPr>
              <w:t xml:space="preserve">§ 3. W wypadku mniejszej wagi, sprawca podlega grzywnie, karze </w:t>
            </w:r>
          </w:p>
          <w:p w:rsidR="00025B8E" w:rsidRDefault="00C13F2C">
            <w:r>
              <w:rPr>
                <w:rFonts w:ascii="Arial" w:eastAsia="Arial" w:hAnsi="Arial" w:cs="Arial"/>
                <w:sz w:val="18"/>
              </w:rPr>
              <w:t xml:space="preserve">ograniczenia wolności albo pozbawienia wolności do lat 2. </w:t>
            </w:r>
          </w:p>
          <w:p w:rsidR="00025B8E" w:rsidRDefault="00C13F2C">
            <w:pPr>
              <w:spacing w:after="17"/>
              <w:ind w:left="709"/>
            </w:pPr>
            <w:r>
              <w:rPr>
                <w:rFonts w:ascii="Arial" w:eastAsia="Arial" w:hAnsi="Arial" w:cs="Arial"/>
                <w:sz w:val="18"/>
              </w:rPr>
              <w:t xml:space="preserve">§ 4. Jeżeli czyn określony w § 1–3 popełniono na szkodę osoby </w:t>
            </w:r>
          </w:p>
          <w:p w:rsidR="00025B8E" w:rsidRDefault="00C13F2C">
            <w:pPr>
              <w:spacing w:after="6"/>
            </w:pPr>
            <w:r>
              <w:rPr>
                <w:rFonts w:ascii="Arial" w:eastAsia="Arial" w:hAnsi="Arial" w:cs="Arial"/>
                <w:sz w:val="18"/>
              </w:rPr>
              <w:t xml:space="preserve">najbliższej, ściganie następuje na wniosek pokrzywdzonego. </w:t>
            </w:r>
          </w:p>
          <w:p w:rsidR="00025B8E" w:rsidRDefault="00C13F2C">
            <w:pPr>
              <w:spacing w:after="26" w:line="245" w:lineRule="auto"/>
              <w:ind w:right="78"/>
            </w:pPr>
            <w:r>
              <w:rPr>
                <w:rFonts w:ascii="Arial" w:eastAsia="Arial" w:hAnsi="Arial" w:cs="Arial"/>
                <w:b/>
                <w:sz w:val="18"/>
              </w:rPr>
              <w:t>Art. 287.</w:t>
            </w:r>
            <w:r>
              <w:rPr>
                <w:rFonts w:ascii="Arial" w:eastAsia="Arial" w:hAnsi="Arial" w:cs="Arial"/>
                <w:sz w:val="18"/>
              </w:rPr>
              <w:t xml:space="preserve"> § 1. Kto, w celu osiągnięcia korzyści majątkowej lub wyrządzenia innej osobie szkody, bez upoważnienia, wpływa na automatyczne przetwarzanie, gromadzenie lub przekazywanie danych informatycznych lub zmienia, usuwa albo wprowadza nowy zapis danych informatycznych, podlega karze pozbawienia wolności od 3 miesięcy do lat 5. § 2. W wypadku mniejszej wagi, sprawca podlega grzywnie, karze </w:t>
            </w:r>
          </w:p>
          <w:p w:rsidR="00025B8E" w:rsidRDefault="00C13F2C">
            <w:r>
              <w:rPr>
                <w:rFonts w:ascii="Arial" w:eastAsia="Arial" w:hAnsi="Arial" w:cs="Arial"/>
                <w:sz w:val="18"/>
              </w:rPr>
              <w:t xml:space="preserve">ograniczenia wolności albo pozbawienia wolności do roku. </w:t>
            </w:r>
          </w:p>
          <w:p w:rsidR="00025B8E" w:rsidRDefault="00C13F2C">
            <w:pPr>
              <w:spacing w:after="11"/>
              <w:ind w:left="709"/>
            </w:pPr>
            <w:r>
              <w:rPr>
                <w:rFonts w:ascii="Arial" w:eastAsia="Arial" w:hAnsi="Arial" w:cs="Arial"/>
                <w:sz w:val="18"/>
              </w:rPr>
              <w:t xml:space="preserve">§ 3. Jeżeli oszustwo popełniono na szkodę osoby najbliższej, </w:t>
            </w:r>
          </w:p>
          <w:p w:rsidR="00025B8E" w:rsidRDefault="00C13F2C">
            <w:pPr>
              <w:spacing w:after="6"/>
            </w:pPr>
            <w:r>
              <w:rPr>
                <w:rFonts w:ascii="Arial" w:eastAsia="Arial" w:hAnsi="Arial" w:cs="Arial"/>
                <w:sz w:val="18"/>
              </w:rPr>
              <w:t xml:space="preserve">ściganie następuje na wniosek pokrzywdzonego. </w:t>
            </w:r>
          </w:p>
          <w:p w:rsidR="00025B8E" w:rsidRDefault="00C13F2C">
            <w:pPr>
              <w:spacing w:line="282" w:lineRule="auto"/>
            </w:pPr>
            <w:r>
              <w:rPr>
                <w:rFonts w:ascii="Arial" w:eastAsia="Arial" w:hAnsi="Arial" w:cs="Arial"/>
                <w:b/>
                <w:sz w:val="18"/>
              </w:rPr>
              <w:t>Art. 288.</w:t>
            </w:r>
            <w:r>
              <w:rPr>
                <w:rFonts w:ascii="Arial" w:eastAsia="Arial" w:hAnsi="Arial" w:cs="Arial"/>
                <w:sz w:val="18"/>
              </w:rPr>
              <w:t xml:space="preserve"> § 1. Kto cudzą rzecz niszczy, uszkadza lub czyni niezdatną do użytku, podlega karze pozbawienia wolności od 3 miesięcy do lat 5. </w:t>
            </w:r>
          </w:p>
          <w:p w:rsidR="00025B8E" w:rsidRDefault="00C13F2C">
            <w:pPr>
              <w:spacing w:after="10"/>
              <w:ind w:left="709"/>
            </w:pPr>
            <w:r>
              <w:rPr>
                <w:rFonts w:ascii="Arial" w:eastAsia="Arial" w:hAnsi="Arial" w:cs="Arial"/>
                <w:sz w:val="18"/>
              </w:rPr>
              <w:t xml:space="preserve">§ 2. W wypadku mniejszej wagi, sprawca podlega grzywnie, karze </w:t>
            </w:r>
          </w:p>
          <w:p w:rsidR="00025B8E" w:rsidRDefault="00C13F2C">
            <w:r>
              <w:rPr>
                <w:rFonts w:ascii="Arial" w:eastAsia="Arial" w:hAnsi="Arial" w:cs="Arial"/>
                <w:sz w:val="18"/>
              </w:rPr>
              <w:t xml:space="preserve">ograniczenia wolności albo pozbawienia wolności do roku. </w:t>
            </w:r>
          </w:p>
          <w:p w:rsidR="00025B8E" w:rsidRDefault="00C13F2C">
            <w:pPr>
              <w:ind w:left="709"/>
            </w:pPr>
            <w:r>
              <w:rPr>
                <w:rFonts w:ascii="Arial" w:eastAsia="Arial" w:hAnsi="Arial" w:cs="Arial"/>
                <w:sz w:val="18"/>
              </w:rPr>
              <w:t xml:space="preserve">§ 3. Karze określonej w § 1 podlega także ten, kto przerywa lub </w:t>
            </w:r>
          </w:p>
          <w:p w:rsidR="00025B8E" w:rsidRDefault="00C13F2C">
            <w:pPr>
              <w:spacing w:line="278" w:lineRule="auto"/>
            </w:pPr>
            <w:r>
              <w:rPr>
                <w:rFonts w:ascii="Arial" w:eastAsia="Arial" w:hAnsi="Arial" w:cs="Arial"/>
                <w:sz w:val="18"/>
              </w:rPr>
              <w:t xml:space="preserve">uszkadza kabel podmorski albo narusza przepisy obowiązujące przy zakładaniu lub naprawie takiego kabla. </w:t>
            </w:r>
          </w:p>
          <w:p w:rsidR="00025B8E" w:rsidRDefault="00C13F2C">
            <w:pPr>
              <w:ind w:left="709"/>
            </w:pPr>
            <w:r>
              <w:rPr>
                <w:rFonts w:ascii="Arial" w:eastAsia="Arial" w:hAnsi="Arial" w:cs="Arial"/>
                <w:sz w:val="18"/>
              </w:rPr>
              <w:t xml:space="preserve">§ 4. Ściganie przestępstwa określonego w § 1 lub 2 następuje na </w:t>
            </w:r>
          </w:p>
          <w:p w:rsidR="00025B8E" w:rsidRDefault="00C13F2C">
            <w:pPr>
              <w:spacing w:after="6"/>
            </w:pPr>
            <w:r>
              <w:rPr>
                <w:rFonts w:ascii="Arial" w:eastAsia="Arial" w:hAnsi="Arial" w:cs="Arial"/>
                <w:sz w:val="18"/>
              </w:rPr>
              <w:t xml:space="preserve">wniosek pokrzywdzonego. </w:t>
            </w:r>
          </w:p>
          <w:p w:rsidR="00025B8E" w:rsidRDefault="00C13F2C">
            <w:pPr>
              <w:spacing w:line="285" w:lineRule="auto"/>
            </w:pPr>
            <w:r>
              <w:rPr>
                <w:rFonts w:ascii="Arial" w:eastAsia="Arial" w:hAnsi="Arial" w:cs="Arial"/>
                <w:b/>
                <w:sz w:val="18"/>
              </w:rPr>
              <w:t>Art. 289.</w:t>
            </w:r>
            <w:r>
              <w:rPr>
                <w:rFonts w:ascii="Arial" w:eastAsia="Arial" w:hAnsi="Arial" w:cs="Arial"/>
                <w:sz w:val="18"/>
              </w:rPr>
              <w:t xml:space="preserve"> § 1. Kto zabiera w celu krótkotrwałego użycia cudzy pojazd mechaniczny, podlega karze pozbawienia wolności od 3 miesięcy do lat 5. </w:t>
            </w:r>
          </w:p>
          <w:p w:rsidR="00025B8E" w:rsidRDefault="00C13F2C">
            <w:pPr>
              <w:spacing w:after="14"/>
              <w:ind w:left="709"/>
            </w:pPr>
            <w:r>
              <w:rPr>
                <w:rFonts w:ascii="Arial" w:eastAsia="Arial" w:hAnsi="Arial" w:cs="Arial"/>
                <w:sz w:val="18"/>
              </w:rPr>
              <w:t xml:space="preserve">§ 2. Jeżeli sprawca czynu określonego w § 1 pokonuje </w:t>
            </w:r>
          </w:p>
          <w:p w:rsidR="00025B8E" w:rsidRDefault="00C13F2C">
            <w:pPr>
              <w:spacing w:line="247" w:lineRule="auto"/>
            </w:pPr>
            <w:r>
              <w:rPr>
                <w:rFonts w:ascii="Arial" w:eastAsia="Arial" w:hAnsi="Arial" w:cs="Arial"/>
                <w:sz w:val="18"/>
              </w:rPr>
              <w:t xml:space="preserve">zabezpieczenie pojazdu przed jego użyciem przez osobę nieupoważnioną, pojazd stanowi mienie znacznej wartości albo sprawca następnie porzuca pojazd w stanie uszkodzonym lub w takich okolicznościach, że zachodzi niebezpieczeństwo utraty lub uszkodzenia pojazdu albo jego części lub zawartości, podlega grzywnie, karze ograniczenia wolności albo pozbawienia wolności do lat 2. </w:t>
            </w:r>
          </w:p>
          <w:p w:rsidR="00025B8E" w:rsidRDefault="00C13F2C">
            <w:pPr>
              <w:ind w:left="709"/>
            </w:pPr>
            <w:r>
              <w:rPr>
                <w:rFonts w:ascii="Arial" w:eastAsia="Arial" w:hAnsi="Arial" w:cs="Arial"/>
                <w:sz w:val="18"/>
              </w:rPr>
              <w:t xml:space="preserve">§ 3. Jeżeli czyn określony w § 1 popełniono używając przemocy lub </w:t>
            </w:r>
          </w:p>
          <w:p w:rsidR="00025B8E" w:rsidRDefault="00C13F2C">
            <w:pPr>
              <w:spacing w:line="275" w:lineRule="auto"/>
            </w:pPr>
            <w:r>
              <w:rPr>
                <w:rFonts w:ascii="Arial" w:eastAsia="Arial" w:hAnsi="Arial" w:cs="Arial"/>
                <w:sz w:val="18"/>
              </w:rPr>
              <w:t xml:space="preserve">grożąc natychmiastowym jej użyciem albo doprowadzając człowieka do stanu nieprzytomności lub bezbronności, sprawca podlega karze pozbawienia wolności od roku do lat 10. </w:t>
            </w:r>
          </w:p>
          <w:p w:rsidR="00025B8E" w:rsidRDefault="00C13F2C">
            <w:pPr>
              <w:spacing w:after="17"/>
              <w:ind w:left="709"/>
            </w:pPr>
            <w:r>
              <w:rPr>
                <w:rFonts w:ascii="Arial" w:eastAsia="Arial" w:hAnsi="Arial" w:cs="Arial"/>
                <w:sz w:val="18"/>
              </w:rPr>
              <w:t xml:space="preserve">§ 4. Jeżeli czyn określony w § 1–3 popełniono na szkodę osoby </w:t>
            </w:r>
          </w:p>
          <w:p w:rsidR="00025B8E" w:rsidRDefault="00C13F2C">
            <w:pPr>
              <w:spacing w:after="14" w:line="239" w:lineRule="auto"/>
              <w:ind w:left="709" w:right="364" w:hanging="709"/>
            </w:pPr>
            <w:r>
              <w:rPr>
                <w:rFonts w:ascii="Arial" w:eastAsia="Arial" w:hAnsi="Arial" w:cs="Arial"/>
                <w:sz w:val="18"/>
              </w:rPr>
              <w:t xml:space="preserve">najbliższej, ściganie następuje na wniosek pokrzywdzonego. § 5. Jeżeli czyn określony w § 1–3 popełniono na szkodę osoby </w:t>
            </w:r>
          </w:p>
          <w:p w:rsidR="00025B8E" w:rsidRDefault="00C13F2C">
            <w:pPr>
              <w:spacing w:after="6"/>
            </w:pPr>
            <w:r>
              <w:rPr>
                <w:rFonts w:ascii="Arial" w:eastAsia="Arial" w:hAnsi="Arial" w:cs="Arial"/>
                <w:sz w:val="18"/>
              </w:rPr>
              <w:t xml:space="preserve">najbliższej, ściganie następuje na wniosek pokrzywdzonego. </w:t>
            </w:r>
          </w:p>
          <w:p w:rsidR="00025B8E" w:rsidRDefault="00C13F2C">
            <w:r>
              <w:rPr>
                <w:rFonts w:ascii="Arial" w:eastAsia="Arial" w:hAnsi="Arial" w:cs="Arial"/>
                <w:b/>
                <w:sz w:val="18"/>
              </w:rPr>
              <w:t>Art. 290.</w:t>
            </w:r>
            <w:r>
              <w:rPr>
                <w:rFonts w:ascii="Arial" w:eastAsia="Arial" w:hAnsi="Arial" w:cs="Arial"/>
                <w:sz w:val="18"/>
              </w:rPr>
              <w:t xml:space="preserve"> § 1. Kto w celu przywłaszczenia dopuszcza się wyrębu drzewa w lesie, podlega odpowiedzialności jak za kradzież.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33" w:type="dxa"/>
          <w:left w:w="108" w:type="dxa"/>
          <w:right w:w="73" w:type="dxa"/>
        </w:tblCellMar>
        <w:tblLook w:val="04A0" w:firstRow="1" w:lastRow="0" w:firstColumn="1" w:lastColumn="0" w:noHBand="0" w:noVBand="1"/>
      </w:tblPr>
      <w:tblGrid>
        <w:gridCol w:w="2971"/>
        <w:gridCol w:w="6359"/>
        <w:gridCol w:w="4664"/>
      </w:tblGrid>
      <w:tr w:rsidR="00025B8E">
        <w:trPr>
          <w:trHeight w:val="7047"/>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0" w:line="257" w:lineRule="auto"/>
            </w:pPr>
            <w:r>
              <w:rPr>
                <w:rFonts w:ascii="Arial" w:eastAsia="Arial" w:hAnsi="Arial" w:cs="Arial"/>
                <w:sz w:val="18"/>
              </w:rPr>
              <w:t xml:space="preserve">§ 2. W razie skazania za wyrąb drzewa albo za kradzież drzewa wyrąbanego lub powalonego, sąd orzeka na rzecz pokrzywdzonego nawiązkę w wysokości podwójnej wartości drzewa. </w:t>
            </w:r>
          </w:p>
          <w:p w:rsidR="00025B8E" w:rsidRDefault="00C13F2C">
            <w:pPr>
              <w:spacing w:line="260" w:lineRule="auto"/>
            </w:pPr>
            <w:r>
              <w:rPr>
                <w:rFonts w:ascii="Arial" w:eastAsia="Arial" w:hAnsi="Arial" w:cs="Arial"/>
                <w:b/>
                <w:sz w:val="18"/>
              </w:rPr>
              <w:t>Art. 291.</w:t>
            </w:r>
            <w:r>
              <w:rPr>
                <w:rFonts w:ascii="Arial" w:eastAsia="Arial" w:hAnsi="Arial" w:cs="Arial"/>
                <w:sz w:val="18"/>
              </w:rPr>
              <w:t xml:space="preserve"> § 1. Kto rzecz uzyskaną za pomocą czynu zabronionego nabywa lub pomaga do jej zbycia albo tę rzecz przyjmuje lub pomaga do jej ukrycia, podlega karze pozbawienia wolności od 3 miesięcy do lat 5. </w:t>
            </w:r>
          </w:p>
          <w:p w:rsidR="00025B8E" w:rsidRDefault="00C13F2C">
            <w:pPr>
              <w:spacing w:after="17"/>
              <w:ind w:left="709"/>
            </w:pPr>
            <w:r>
              <w:rPr>
                <w:rFonts w:ascii="Arial" w:eastAsia="Arial" w:hAnsi="Arial" w:cs="Arial"/>
                <w:sz w:val="18"/>
              </w:rPr>
              <w:t xml:space="preserve">§ 2. W wypadku mniejszej wagi, sprawca podlega grzywnie, karze </w:t>
            </w:r>
          </w:p>
          <w:p w:rsidR="00025B8E" w:rsidRDefault="00C13F2C">
            <w:pPr>
              <w:spacing w:after="6"/>
            </w:pPr>
            <w:r>
              <w:rPr>
                <w:rFonts w:ascii="Arial" w:eastAsia="Arial" w:hAnsi="Arial" w:cs="Arial"/>
                <w:sz w:val="18"/>
              </w:rPr>
              <w:t xml:space="preserve">ograniczenia wolności albo pozbawienia wolności do roku. </w:t>
            </w:r>
          </w:p>
          <w:p w:rsidR="00025B8E" w:rsidRDefault="00C13F2C">
            <w:pPr>
              <w:spacing w:line="251" w:lineRule="auto"/>
            </w:pPr>
            <w:r>
              <w:rPr>
                <w:rFonts w:ascii="Arial" w:eastAsia="Arial" w:hAnsi="Arial" w:cs="Arial"/>
                <w:b/>
                <w:sz w:val="18"/>
              </w:rPr>
              <w:t>Art. 292.</w:t>
            </w:r>
            <w:r>
              <w:rPr>
                <w:rFonts w:ascii="Arial" w:eastAsia="Arial" w:hAnsi="Arial" w:cs="Arial"/>
                <w:sz w:val="18"/>
              </w:rPr>
              <w:t xml:space="preserve"> § 1. Kto rzecz, o której na podstawie towarzyszących okoliczności powinien i może przypuszczać, że została uzyskana za pomocą czynu zabronionego, nabywa lub pomaga do jej zbycia albo tę rzecz przyjmuje lub pomaga do jej ukrycia, podlega grzywnie, karze ograniczenia wolności albo pozbawienia wolności do lat 2. </w:t>
            </w:r>
          </w:p>
          <w:p w:rsidR="00025B8E" w:rsidRDefault="00C13F2C">
            <w:pPr>
              <w:spacing w:after="14"/>
              <w:ind w:left="709"/>
            </w:pPr>
            <w:r>
              <w:rPr>
                <w:rFonts w:ascii="Arial" w:eastAsia="Arial" w:hAnsi="Arial" w:cs="Arial"/>
                <w:sz w:val="18"/>
              </w:rPr>
              <w:t xml:space="preserve">§ 2. W wypadku znacznej wartości rzeczy, o której mowa w § 1, </w:t>
            </w:r>
          </w:p>
          <w:p w:rsidR="00025B8E" w:rsidRDefault="00C13F2C">
            <w:pPr>
              <w:spacing w:line="257" w:lineRule="auto"/>
              <w:ind w:right="246"/>
            </w:pPr>
            <w:r>
              <w:rPr>
                <w:rFonts w:ascii="Arial" w:eastAsia="Arial" w:hAnsi="Arial" w:cs="Arial"/>
                <w:sz w:val="18"/>
              </w:rPr>
              <w:t xml:space="preserve">sprawca podlega karze pozbawienia wolności od 3 miesięcy do lat 5. </w:t>
            </w:r>
            <w:r>
              <w:rPr>
                <w:rFonts w:ascii="Arial" w:eastAsia="Arial" w:hAnsi="Arial" w:cs="Arial"/>
                <w:b/>
                <w:sz w:val="18"/>
              </w:rPr>
              <w:t>Art. 293.</w:t>
            </w:r>
            <w:r>
              <w:rPr>
                <w:rFonts w:ascii="Arial" w:eastAsia="Arial" w:hAnsi="Arial" w:cs="Arial"/>
                <w:sz w:val="18"/>
              </w:rPr>
              <w:t xml:space="preserve"> § 1. Przepisy art. 291 i 292 stosuje się odpowiednio do programu komputerowego. </w:t>
            </w:r>
          </w:p>
          <w:p w:rsidR="00025B8E" w:rsidRDefault="00C13F2C">
            <w:pPr>
              <w:spacing w:after="14"/>
              <w:ind w:right="120"/>
              <w:jc w:val="right"/>
            </w:pPr>
            <w:r>
              <w:rPr>
                <w:rFonts w:ascii="Arial" w:eastAsia="Arial" w:hAnsi="Arial" w:cs="Arial"/>
                <w:sz w:val="18"/>
              </w:rPr>
              <w:t xml:space="preserve">§ 2. Sąd może orzec przepadek rzeczy określonej w § 1 oraz w art. </w:t>
            </w:r>
          </w:p>
          <w:p w:rsidR="00025B8E" w:rsidRDefault="00C13F2C">
            <w:pPr>
              <w:spacing w:after="8"/>
            </w:pPr>
            <w:r>
              <w:rPr>
                <w:rFonts w:ascii="Arial" w:eastAsia="Arial" w:hAnsi="Arial" w:cs="Arial"/>
                <w:sz w:val="18"/>
              </w:rPr>
              <w:t xml:space="preserve">291 i 292, chociażby nie stanowiła ona własności sprawcy. </w:t>
            </w:r>
          </w:p>
          <w:p w:rsidR="00025B8E" w:rsidRDefault="00C13F2C">
            <w:pPr>
              <w:spacing w:line="264" w:lineRule="auto"/>
              <w:ind w:right="37"/>
            </w:pPr>
            <w:r>
              <w:rPr>
                <w:rFonts w:ascii="Arial" w:eastAsia="Arial" w:hAnsi="Arial" w:cs="Arial"/>
                <w:b/>
                <w:sz w:val="18"/>
              </w:rPr>
              <w:t>Art. 294.</w:t>
            </w:r>
            <w:r>
              <w:rPr>
                <w:rFonts w:ascii="Arial" w:eastAsia="Arial" w:hAnsi="Arial" w:cs="Arial"/>
                <w:sz w:val="18"/>
              </w:rPr>
              <w:t xml:space="preserve"> § 1. Kto dopuszcza się przestępstwa określonego w art. 278 § 1 lub 2, art. 284 § 1 lub 2, art. 285 § 1, art. 286 § 1, art. 287 § 1, art. 288 § 1 lub 3, lub w art. 291 § 1, w stosunku do mienia znacznej wartości, podlega karze pozbawienia wolności od roku do lat 10. </w:t>
            </w:r>
          </w:p>
          <w:p w:rsidR="00025B8E" w:rsidRDefault="00C13F2C">
            <w:pPr>
              <w:spacing w:after="17" w:line="239" w:lineRule="auto"/>
            </w:pPr>
            <w:r>
              <w:rPr>
                <w:rFonts w:ascii="Arial" w:eastAsia="Arial" w:hAnsi="Arial" w:cs="Arial"/>
                <w:sz w:val="18"/>
              </w:rPr>
              <w:t xml:space="preserve">§ 2. Tej samej karze podlega sprawca, który dopuszcza się przestępstwa wymienionego w § 1 w stosunku do dobra o szczególnym znaczeniu dla kultury. </w:t>
            </w:r>
          </w:p>
          <w:p w:rsidR="00025B8E" w:rsidRDefault="00C13F2C">
            <w:r>
              <w:rPr>
                <w:rFonts w:ascii="Arial" w:eastAsia="Arial" w:hAnsi="Arial" w:cs="Arial"/>
                <w:b/>
                <w:sz w:val="18"/>
              </w:rPr>
              <w:t>Art. 295.</w:t>
            </w:r>
            <w:r>
              <w:rPr>
                <w:rFonts w:ascii="Arial" w:eastAsia="Arial" w:hAnsi="Arial" w:cs="Arial"/>
                <w:sz w:val="18"/>
              </w:rPr>
              <w:t xml:space="preserve"> § 1. Wobec sprawcy przestępstwa określonego w art. 278, 284–</w:t>
            </w:r>
          </w:p>
          <w:p w:rsidR="00025B8E" w:rsidRDefault="00C13F2C">
            <w:pPr>
              <w:spacing w:line="249" w:lineRule="auto"/>
            </w:pPr>
            <w:r>
              <w:rPr>
                <w:rFonts w:ascii="Arial" w:eastAsia="Arial" w:hAnsi="Arial" w:cs="Arial"/>
                <w:sz w:val="18"/>
              </w:rPr>
              <w:t xml:space="preserve">289, 291, 292 lub 294, który dobrowolnie naprawił szkodę w całości albo zwrócił pojazd lub rzecz mającą szczególne znaczenie dla kultury w stanie nieuszkodzonym, sąd może zastosować nadzwyczajne złagodzenie kary, a nawet odstąpić od jej wymierzenia. </w:t>
            </w:r>
          </w:p>
          <w:p w:rsidR="00025B8E" w:rsidRDefault="00C13F2C">
            <w:pPr>
              <w:ind w:left="709"/>
            </w:pPr>
            <w:r>
              <w:rPr>
                <w:rFonts w:ascii="Arial" w:eastAsia="Arial" w:hAnsi="Arial" w:cs="Arial"/>
                <w:sz w:val="18"/>
              </w:rPr>
              <w:t xml:space="preserve">§ 2. Wobec sprawcy przestępstwa wymienionego w § 1, który </w:t>
            </w:r>
          </w:p>
          <w:p w:rsidR="00025B8E" w:rsidRDefault="00C13F2C">
            <w:r>
              <w:rPr>
                <w:rFonts w:ascii="Arial" w:eastAsia="Arial" w:hAnsi="Arial" w:cs="Arial"/>
                <w:sz w:val="18"/>
              </w:rPr>
              <w:t xml:space="preserve">dobrowolnie naprawił szkodę w znacznej części, sąd może zastosować nadzwyczajne złagodzenie kary.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1875"/>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22" w:line="239" w:lineRule="auto"/>
            </w:pPr>
            <w:r>
              <w:rPr>
                <w:rFonts w:ascii="Arial" w:eastAsia="Arial" w:hAnsi="Arial" w:cs="Arial"/>
              </w:rPr>
              <w:lastRenderedPageBreak/>
              <w:t xml:space="preserve">art. 296-309 Kodeksu karnego </w:t>
            </w:r>
          </w:p>
          <w:p w:rsidR="00025B8E" w:rsidRDefault="00C13F2C">
            <w:pPr>
              <w:ind w:right="101"/>
            </w:pPr>
            <w:r>
              <w:rPr>
                <w:rFonts w:ascii="Arial" w:eastAsia="Arial" w:hAnsi="Arial" w:cs="Arial"/>
              </w:rPr>
              <w:t xml:space="preserve">[przestępstwa przeciwko obrotowi gospodarczemu] z wyjątkiem art. 299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25" w:line="247" w:lineRule="auto"/>
              <w:ind w:right="10"/>
            </w:pPr>
            <w:r>
              <w:rPr>
                <w:rFonts w:ascii="Arial" w:eastAsia="Arial" w:hAnsi="Arial" w:cs="Arial"/>
                <w:b/>
                <w:sz w:val="18"/>
              </w:rPr>
              <w:t>Art. 296.</w:t>
            </w:r>
            <w:r>
              <w:rPr>
                <w:rFonts w:ascii="Arial" w:eastAsia="Arial" w:hAnsi="Arial" w:cs="Arial"/>
                <w:sz w:val="18"/>
              </w:rPr>
              <w:t xml:space="preserve"> § 1. Kto, będąc obowiązany na podstawie przepisu ustawy, decyzji właściwego organu lub umowy do zajmowania się sprawami majątkowymi lub działalnością gospodarczą osoby fizycznej, prawnej albo jednostki organizacyjnej nie mającej osobowości prawnej, przez nadużycie udzielonych mu uprawnień lub niedopełnienie ciążącego na nim obowiązku, wyrządza jej znaczną szkodę majątkową, podlega karze pozbawienia wolności od 3 miesięcy do lat 5. </w:t>
            </w:r>
          </w:p>
          <w:p w:rsidR="00025B8E" w:rsidRDefault="00C13F2C">
            <w:pPr>
              <w:ind w:left="74"/>
              <w:jc w:val="center"/>
            </w:pPr>
            <w:r>
              <w:rPr>
                <w:rFonts w:ascii="Arial" w:eastAsia="Arial" w:hAnsi="Arial" w:cs="Arial"/>
                <w:sz w:val="18"/>
              </w:rPr>
              <w:t xml:space="preserve">§ 1a. Jeżeli sprawca, o którym mowa w § 1, przez nadużycie </w:t>
            </w:r>
          </w:p>
          <w:p w:rsidR="00025B8E" w:rsidRDefault="00C13F2C">
            <w:r>
              <w:rPr>
                <w:rFonts w:ascii="Arial" w:eastAsia="Arial" w:hAnsi="Arial" w:cs="Arial"/>
                <w:sz w:val="18"/>
              </w:rPr>
              <w:t xml:space="preserve">udzielonych mu uprawnień lub niedopełnienie ciążącego na nim obowiązku,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34"/>
              <w:jc w:val="center"/>
            </w:pPr>
            <w:r>
              <w:rPr>
                <w:rFonts w:ascii="Arial" w:eastAsia="Arial" w:hAnsi="Arial" w:cs="Arial"/>
              </w:rPr>
              <w:t xml:space="preserve">III.D </w:t>
            </w:r>
          </w:p>
        </w:tc>
      </w:tr>
    </w:tbl>
    <w:p w:rsidR="00025B8E" w:rsidRDefault="00025B8E">
      <w:pPr>
        <w:spacing w:after="0"/>
        <w:ind w:left="-1406" w:right="8"/>
      </w:pPr>
    </w:p>
    <w:tbl>
      <w:tblPr>
        <w:tblStyle w:val="TableGrid"/>
        <w:tblW w:w="13994" w:type="dxa"/>
        <w:tblInd w:w="17" w:type="dxa"/>
        <w:tblCellMar>
          <w:top w:w="42" w:type="dxa"/>
          <w:left w:w="108" w:type="dxa"/>
          <w:right w:w="83" w:type="dxa"/>
        </w:tblCellMar>
        <w:tblLook w:val="04A0" w:firstRow="1" w:lastRow="0" w:firstColumn="1" w:lastColumn="0" w:noHBand="0" w:noVBand="1"/>
      </w:tblPr>
      <w:tblGrid>
        <w:gridCol w:w="2972"/>
        <w:gridCol w:w="6359"/>
        <w:gridCol w:w="4663"/>
      </w:tblGrid>
      <w:tr w:rsidR="00025B8E">
        <w:trPr>
          <w:trHeight w:val="8913"/>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6" w:lineRule="auto"/>
            </w:pPr>
            <w:r>
              <w:rPr>
                <w:rFonts w:ascii="Arial" w:eastAsia="Arial" w:hAnsi="Arial" w:cs="Arial"/>
                <w:sz w:val="18"/>
              </w:rPr>
              <w:t xml:space="preserve">sprowadza bezpośrednie niebezpieczeństwo wyrządzenia znacznej szkody majątkowej, podlega karze pozbawienia wolności do lat 3. </w:t>
            </w:r>
          </w:p>
          <w:p w:rsidR="00025B8E" w:rsidRDefault="00C13F2C">
            <w:pPr>
              <w:ind w:left="709"/>
            </w:pPr>
            <w:r>
              <w:rPr>
                <w:rFonts w:ascii="Arial" w:eastAsia="Arial" w:hAnsi="Arial" w:cs="Arial"/>
                <w:sz w:val="18"/>
              </w:rPr>
              <w:t xml:space="preserve">§ 2. Jeżeli sprawca przestępstwa określonego w § 1 lub 1a działa w </w:t>
            </w:r>
          </w:p>
          <w:p w:rsidR="00025B8E" w:rsidRDefault="00C13F2C">
            <w:pPr>
              <w:spacing w:line="275" w:lineRule="auto"/>
            </w:pPr>
            <w:r>
              <w:rPr>
                <w:rFonts w:ascii="Arial" w:eastAsia="Arial" w:hAnsi="Arial" w:cs="Arial"/>
                <w:sz w:val="18"/>
              </w:rPr>
              <w:t xml:space="preserve">celu osiągnięcia korzyści majątkowej, podlega karze pozbawienia wolności od 6 miesięcy do lat 8. </w:t>
            </w:r>
          </w:p>
          <w:p w:rsidR="00025B8E" w:rsidRDefault="00C13F2C">
            <w:pPr>
              <w:ind w:left="709"/>
            </w:pPr>
            <w:r>
              <w:rPr>
                <w:rFonts w:ascii="Arial" w:eastAsia="Arial" w:hAnsi="Arial" w:cs="Arial"/>
                <w:sz w:val="18"/>
              </w:rPr>
              <w:t xml:space="preserve">§ 3. Jeżeli sprawca przestępstwa określonego w § 1 lub 2 wyrządza </w:t>
            </w:r>
          </w:p>
          <w:p w:rsidR="00025B8E" w:rsidRDefault="00C13F2C">
            <w:pPr>
              <w:spacing w:line="253" w:lineRule="auto"/>
            </w:pPr>
            <w:r>
              <w:rPr>
                <w:rFonts w:ascii="Arial" w:eastAsia="Arial" w:hAnsi="Arial" w:cs="Arial"/>
                <w:sz w:val="18"/>
              </w:rPr>
              <w:t xml:space="preserve">szkodę majątkową w wielkich rozmiarach, podlega karze pozbawienia wolności od roku do lat 10. </w:t>
            </w:r>
          </w:p>
          <w:p w:rsidR="00025B8E" w:rsidRDefault="00C13F2C">
            <w:pPr>
              <w:spacing w:after="14"/>
              <w:ind w:left="709"/>
            </w:pPr>
            <w:r>
              <w:rPr>
                <w:rFonts w:ascii="Arial" w:eastAsia="Arial" w:hAnsi="Arial" w:cs="Arial"/>
                <w:sz w:val="18"/>
              </w:rPr>
              <w:t xml:space="preserve">§ 4. Jeżeli sprawca przestępstwa określonego w § 1 lub 3 działa </w:t>
            </w:r>
          </w:p>
          <w:p w:rsidR="00025B8E" w:rsidRDefault="00C13F2C">
            <w:pPr>
              <w:spacing w:line="241" w:lineRule="auto"/>
              <w:ind w:right="282"/>
              <w:jc w:val="right"/>
            </w:pPr>
            <w:r>
              <w:rPr>
                <w:rFonts w:ascii="Arial" w:eastAsia="Arial" w:hAnsi="Arial" w:cs="Arial"/>
                <w:sz w:val="18"/>
              </w:rPr>
              <w:t xml:space="preserve">nieumyślnie, podlega karze pozbawienia wolności do lat 3. § 4a. Jeżeli pokrzywdzonym nie jest Skarb Państwa, ściganie </w:t>
            </w:r>
            <w:r>
              <w:rPr>
                <w:noProof/>
              </w:rPr>
              <w:drawing>
                <wp:inline distT="0" distB="0" distL="0" distR="0">
                  <wp:extent cx="2969133" cy="128016"/>
                  <wp:effectExtent l="0" t="0" r="0" b="0"/>
                  <wp:docPr id="11827" name="Picture 11827"/>
                  <wp:cNvGraphicFramePr/>
                  <a:graphic xmlns:a="http://schemas.openxmlformats.org/drawingml/2006/main">
                    <a:graphicData uri="http://schemas.openxmlformats.org/drawingml/2006/picture">
                      <pic:pic xmlns:pic="http://schemas.openxmlformats.org/drawingml/2006/picture">
                        <pic:nvPicPr>
                          <pic:cNvPr id="11827" name="Picture 11827"/>
                          <pic:cNvPicPr/>
                        </pic:nvPicPr>
                        <pic:blipFill>
                          <a:blip r:embed="rId95"/>
                          <a:stretch>
                            <a:fillRect/>
                          </a:stretch>
                        </pic:blipFill>
                        <pic:spPr>
                          <a:xfrm>
                            <a:off x="0" y="0"/>
                            <a:ext cx="2969133" cy="128016"/>
                          </a:xfrm>
                          <a:prstGeom prst="rect">
                            <a:avLst/>
                          </a:prstGeom>
                        </pic:spPr>
                      </pic:pic>
                    </a:graphicData>
                  </a:graphic>
                </wp:inline>
              </w:drawing>
            </w:r>
            <w:r>
              <w:rPr>
                <w:rFonts w:ascii="Arial" w:eastAsia="Arial" w:hAnsi="Arial" w:cs="Arial"/>
                <w:sz w:val="18"/>
              </w:rPr>
              <w:t xml:space="preserve">okrzywdzonego. </w:t>
            </w:r>
          </w:p>
          <w:p w:rsidR="00025B8E" w:rsidRDefault="00C13F2C">
            <w:pPr>
              <w:spacing w:after="14"/>
              <w:ind w:left="709"/>
            </w:pPr>
            <w:r>
              <w:rPr>
                <w:rFonts w:ascii="Arial" w:eastAsia="Arial" w:hAnsi="Arial" w:cs="Arial"/>
                <w:sz w:val="18"/>
              </w:rPr>
              <w:t xml:space="preserve">§ 5. Nie podlega karze, kto przed wszczęciem postępowania </w:t>
            </w:r>
          </w:p>
          <w:p w:rsidR="00025B8E" w:rsidRDefault="00C13F2C">
            <w:pPr>
              <w:spacing w:after="5"/>
            </w:pPr>
            <w:r>
              <w:rPr>
                <w:rFonts w:ascii="Arial" w:eastAsia="Arial" w:hAnsi="Arial" w:cs="Arial"/>
                <w:sz w:val="18"/>
              </w:rPr>
              <w:t xml:space="preserve">karnego dobrowolnie naprawił w całości wyrządzoną szkodę. </w:t>
            </w:r>
          </w:p>
          <w:p w:rsidR="00025B8E" w:rsidRDefault="00C13F2C">
            <w:pPr>
              <w:spacing w:line="249" w:lineRule="auto"/>
            </w:pPr>
            <w:r>
              <w:rPr>
                <w:rFonts w:ascii="Arial" w:eastAsia="Arial" w:hAnsi="Arial" w:cs="Arial"/>
                <w:b/>
                <w:sz w:val="18"/>
              </w:rPr>
              <w:t>Art. 296a.</w:t>
            </w:r>
            <w:r>
              <w:rPr>
                <w:rFonts w:ascii="Arial" w:eastAsia="Arial" w:hAnsi="Arial" w:cs="Arial"/>
                <w:sz w:val="18"/>
              </w:rPr>
              <w:t xml:space="preserve"> § 1. Kto, pełniąc funkcję kierowniczą w jednostce organizacyjnej wykonującej działalność gospodarczą lub pozostając z nią w stosunku pracy, umowy zlecenia lub umowy o dzieło, żąda lub przyjmuje korzyść majątkową lub osobistą albo jej obietnicę, w zamian za nadużycie udzielonych mu uprawnień lub niedopełnienie ciążącego na nim obowiązku mogące wyrządzić tej jednostce szkodę majątkową albo stanowiące czyn nieuczciwej konkurencji lub niedopuszczalną czynność preferencyjną na rzecz nabywcy lub odbiorcy towaru, usługi lub świadczenia, podlega karze pozbawienia wolności od 3 miesięcy do lat 5. </w:t>
            </w:r>
          </w:p>
          <w:p w:rsidR="00025B8E" w:rsidRDefault="00C13F2C">
            <w:pPr>
              <w:spacing w:after="14"/>
              <w:ind w:left="709"/>
            </w:pPr>
            <w:r>
              <w:rPr>
                <w:rFonts w:ascii="Arial" w:eastAsia="Arial" w:hAnsi="Arial" w:cs="Arial"/>
                <w:sz w:val="18"/>
              </w:rPr>
              <w:t xml:space="preserve">§ 2. Tej samej karze podlega, kto w wypadkach określonych w § 1 </w:t>
            </w:r>
          </w:p>
          <w:p w:rsidR="00025B8E" w:rsidRDefault="00C13F2C">
            <w:r>
              <w:rPr>
                <w:rFonts w:ascii="Arial" w:eastAsia="Arial" w:hAnsi="Arial" w:cs="Arial"/>
                <w:sz w:val="18"/>
              </w:rPr>
              <w:t xml:space="preserve">udziela albo obiecuje udzielić korzyści majątkowej lub osobistej. </w:t>
            </w:r>
          </w:p>
          <w:p w:rsidR="00025B8E" w:rsidRDefault="00C13F2C">
            <w:pPr>
              <w:ind w:left="709"/>
            </w:pPr>
            <w:r>
              <w:rPr>
                <w:rFonts w:ascii="Arial" w:eastAsia="Arial" w:hAnsi="Arial" w:cs="Arial"/>
                <w:sz w:val="18"/>
              </w:rPr>
              <w:t xml:space="preserve">§ 3. W wypadku mniejszej wagi, sprawca czynu określonego w § 1 </w:t>
            </w:r>
          </w:p>
          <w:p w:rsidR="00025B8E" w:rsidRDefault="00C13F2C">
            <w:pPr>
              <w:spacing w:line="278" w:lineRule="auto"/>
              <w:jc w:val="both"/>
            </w:pPr>
            <w:r>
              <w:rPr>
                <w:rFonts w:ascii="Arial" w:eastAsia="Arial" w:hAnsi="Arial" w:cs="Arial"/>
                <w:sz w:val="18"/>
              </w:rPr>
              <w:t xml:space="preserve">lub 2 podlega grzywnie, karze ograniczenia wolności albo pozbawienia wolności do lat 2. </w:t>
            </w:r>
          </w:p>
          <w:p w:rsidR="00025B8E" w:rsidRDefault="00C13F2C">
            <w:pPr>
              <w:ind w:left="709"/>
            </w:pPr>
            <w:r>
              <w:rPr>
                <w:rFonts w:ascii="Arial" w:eastAsia="Arial" w:hAnsi="Arial" w:cs="Arial"/>
                <w:sz w:val="18"/>
              </w:rPr>
              <w:t xml:space="preserve">§ 4. Jeżeli sprawca czynu określonego w § 1 wyrządza znaczną </w:t>
            </w:r>
          </w:p>
          <w:p w:rsidR="00025B8E" w:rsidRDefault="00C13F2C">
            <w:pPr>
              <w:spacing w:after="2" w:line="239" w:lineRule="auto"/>
              <w:ind w:right="29"/>
              <w:jc w:val="both"/>
            </w:pPr>
            <w:r>
              <w:rPr>
                <w:rFonts w:ascii="Arial" w:eastAsia="Arial" w:hAnsi="Arial" w:cs="Arial"/>
                <w:sz w:val="18"/>
              </w:rPr>
              <w:t xml:space="preserve">szkodę majątkową, podlega karze pozbawienia wolności od 6 miesięcy do lat 8. </w:t>
            </w:r>
          </w:p>
          <w:p w:rsidR="00025B8E" w:rsidRDefault="00C13F2C">
            <w:pPr>
              <w:ind w:left="709"/>
            </w:pPr>
            <w:r>
              <w:rPr>
                <w:rFonts w:ascii="Arial" w:eastAsia="Arial" w:hAnsi="Arial" w:cs="Arial"/>
                <w:sz w:val="18"/>
              </w:rPr>
              <w:t xml:space="preserve">§ 5. Nie podlega karze sprawca przestępstwa określonego w § 2 </w:t>
            </w:r>
          </w:p>
          <w:p w:rsidR="00025B8E" w:rsidRDefault="00C13F2C">
            <w:pPr>
              <w:spacing w:after="7" w:line="258" w:lineRule="auto"/>
              <w:ind w:right="278"/>
            </w:pPr>
            <w:r>
              <w:rPr>
                <w:rFonts w:ascii="Arial" w:eastAsia="Arial" w:hAnsi="Arial" w:cs="Arial"/>
                <w:sz w:val="18"/>
              </w:rPr>
              <w:t xml:space="preserve">albo w § 3 w związku z § 2, jeżeli korzyść majątkowa lub osobista albo ich obietnica zostały przyjęte, a sprawca zawiadomił o tym fakcie organ powołany do ścigania przestępstw i ujawnił wszystkie istotne okoliczności przestępstwa, zanim organ ten o nim się dowiedział. Art. 296b. (uchylony). </w:t>
            </w:r>
          </w:p>
          <w:p w:rsidR="00025B8E" w:rsidRDefault="00C13F2C">
            <w:r>
              <w:rPr>
                <w:rFonts w:ascii="Arial" w:eastAsia="Arial" w:hAnsi="Arial" w:cs="Arial"/>
                <w:b/>
                <w:sz w:val="18"/>
              </w:rPr>
              <w:t>Art. 297.</w:t>
            </w:r>
            <w:r>
              <w:rPr>
                <w:rFonts w:ascii="Arial" w:eastAsia="Arial" w:hAnsi="Arial" w:cs="Arial"/>
                <w:sz w:val="18"/>
              </w:rPr>
              <w:t xml:space="preserve"> § 1. Kto, w celu uzyskania dla siebie lub kogo innego, od banku lub jednostki organizacyjnej prowadzącej podobną działalność gospodarczą na podstawie ustawy albo od organu lub instytucji dysponujących środkami </w:t>
            </w:r>
            <w:r>
              <w:rPr>
                <w:rFonts w:ascii="Arial" w:eastAsia="Arial" w:hAnsi="Arial" w:cs="Arial"/>
                <w:sz w:val="18"/>
              </w:rPr>
              <w:lastRenderedPageBreak/>
              <w:t xml:space="preserve">publicznymi – kredytu, pożyczki pieniężnej, poręczenia, gwarancji, akredytywy, dotacji, subwencji, potwierdzenia przez bank zobowiązania wynikającego z poręczenia lub z gwarancji lub podobnego świadczenia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42" w:type="dxa"/>
          <w:left w:w="108" w:type="dxa"/>
          <w:right w:w="66" w:type="dxa"/>
        </w:tblCellMar>
        <w:tblLook w:val="04A0" w:firstRow="1" w:lastRow="0" w:firstColumn="1" w:lastColumn="0" w:noHBand="0" w:noVBand="1"/>
      </w:tblPr>
      <w:tblGrid>
        <w:gridCol w:w="2971"/>
        <w:gridCol w:w="6359"/>
        <w:gridCol w:w="4664"/>
      </w:tblGrid>
      <w:tr w:rsidR="00025B8E">
        <w:trPr>
          <w:trHeight w:val="8704"/>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53" w:lineRule="auto"/>
            </w:pPr>
            <w:r>
              <w:rPr>
                <w:rFonts w:ascii="Arial" w:eastAsia="Arial" w:hAnsi="Arial" w:cs="Arial"/>
                <w:sz w:val="18"/>
              </w:rPr>
              <w:t xml:space="preserve">pieniężnego na określony cel gospodarczy, instrumentu płatniczego lub zamówienia publicznego, przedkłada podrobiony, przerobiony, poświadczający nieprawdę albo nierzetelny dokument albo nierzetelne, pisemne oświadczenie dotyczące okoliczności o istotnym znaczeniu dla uzyskania wymienionego wsparcia finansowego, instrumentu płatniczego lub zamówienia, podlega karze pozbawienia wolności od 3 miesięcy do lat 5. </w:t>
            </w:r>
          </w:p>
          <w:p w:rsidR="00025B8E" w:rsidRDefault="00C13F2C">
            <w:pPr>
              <w:ind w:left="709"/>
            </w:pPr>
            <w:r>
              <w:rPr>
                <w:rFonts w:ascii="Arial" w:eastAsia="Arial" w:hAnsi="Arial" w:cs="Arial"/>
                <w:sz w:val="18"/>
              </w:rPr>
              <w:t xml:space="preserve">§ 2. Tej samej karze podlega, kto wbrew ciążącemu obowiązkowi, </w:t>
            </w:r>
          </w:p>
          <w:p w:rsidR="00025B8E" w:rsidRDefault="00C13F2C">
            <w:pPr>
              <w:spacing w:after="24" w:line="252" w:lineRule="auto"/>
            </w:pPr>
            <w:r>
              <w:rPr>
                <w:rFonts w:ascii="Arial" w:eastAsia="Arial" w:hAnsi="Arial" w:cs="Arial"/>
                <w:sz w:val="18"/>
              </w:rPr>
              <w:t xml:space="preserve">nie powiadamia właściwego podmiotu o powstaniu sytuacji mogącej mieć wpływ na wstrzymanie albo ograniczenie wysokości udzielonego wsparcia finansowego, określonego w § 1, lub zamówienia publicznego albo na możliwość dalszego korzystania z instrumentu płatniczego. </w:t>
            </w:r>
          </w:p>
          <w:p w:rsidR="00025B8E" w:rsidRDefault="00C13F2C">
            <w:pPr>
              <w:ind w:left="709"/>
            </w:pPr>
            <w:r>
              <w:rPr>
                <w:rFonts w:ascii="Arial" w:eastAsia="Arial" w:hAnsi="Arial" w:cs="Arial"/>
                <w:sz w:val="18"/>
              </w:rPr>
              <w:t xml:space="preserve">§ 3. Nie podlega karze, kto przed wszczęciem postępowania </w:t>
            </w:r>
          </w:p>
          <w:p w:rsidR="00025B8E" w:rsidRDefault="00C13F2C">
            <w:pPr>
              <w:spacing w:line="261" w:lineRule="auto"/>
              <w:ind w:right="86"/>
            </w:pPr>
            <w:r>
              <w:rPr>
                <w:rFonts w:ascii="Arial" w:eastAsia="Arial" w:hAnsi="Arial" w:cs="Arial"/>
                <w:sz w:val="18"/>
              </w:rPr>
              <w:t xml:space="preserve">karnego dobrowolnie zapobiegł wykorzystaniu wsparcia finansowego lub instrumentu płatniczego, określonych w § 1, zrezygnował z dotacji lub zamówienia publicznego albo zaspokoił roszczenia pokrzywdzonego. </w:t>
            </w:r>
            <w:r>
              <w:rPr>
                <w:rFonts w:ascii="Arial" w:eastAsia="Arial" w:hAnsi="Arial" w:cs="Arial"/>
                <w:b/>
                <w:sz w:val="18"/>
              </w:rPr>
              <w:t>Art. 298.</w:t>
            </w:r>
            <w:r>
              <w:rPr>
                <w:rFonts w:ascii="Arial" w:eastAsia="Arial" w:hAnsi="Arial" w:cs="Arial"/>
                <w:sz w:val="18"/>
              </w:rPr>
              <w:t xml:space="preserve"> § 1. Kto, w celu uzyskania odszkodowania z tytułu umowy ubezpieczenia, powoduje zdarzenie będące podstawą do wypłaty takiego odszkodowania, podlega karze pozbawienia wolności od 3 miesięcy do lat 5. </w:t>
            </w:r>
          </w:p>
          <w:p w:rsidR="00025B8E" w:rsidRDefault="00C13F2C">
            <w:pPr>
              <w:spacing w:after="11"/>
              <w:ind w:left="709"/>
            </w:pPr>
            <w:r>
              <w:rPr>
                <w:rFonts w:ascii="Arial" w:eastAsia="Arial" w:hAnsi="Arial" w:cs="Arial"/>
                <w:sz w:val="18"/>
              </w:rPr>
              <w:t xml:space="preserve">§ 2. Nie podlega karze, kto przed wszczęciem postępowania </w:t>
            </w:r>
          </w:p>
          <w:p w:rsidR="00025B8E" w:rsidRDefault="00C13F2C">
            <w:pPr>
              <w:spacing w:after="6"/>
            </w:pPr>
            <w:r>
              <w:rPr>
                <w:rFonts w:ascii="Arial" w:eastAsia="Arial" w:hAnsi="Arial" w:cs="Arial"/>
                <w:sz w:val="18"/>
              </w:rPr>
              <w:t xml:space="preserve">karnego dobrowolnie zapobiegł wypłacie odszkodowania. </w:t>
            </w:r>
          </w:p>
          <w:p w:rsidR="00025B8E" w:rsidRDefault="00C13F2C">
            <w:pPr>
              <w:spacing w:line="250" w:lineRule="auto"/>
            </w:pPr>
            <w:r>
              <w:rPr>
                <w:rFonts w:ascii="Arial" w:eastAsia="Arial" w:hAnsi="Arial" w:cs="Arial"/>
                <w:b/>
                <w:sz w:val="18"/>
              </w:rPr>
              <w:t>Art. 300.</w:t>
            </w:r>
            <w:r>
              <w:rPr>
                <w:rFonts w:ascii="Arial" w:eastAsia="Arial" w:hAnsi="Arial" w:cs="Arial"/>
                <w:sz w:val="18"/>
              </w:rPr>
              <w:t xml:space="preserve"> § 1. Kto, w razie grożącej mu niewypłacalności lub upadłości, udaremnia lub uszczupla zaspokojenie swojego wierzyciela przez to, że usuwa, ukrywa, zbywa, darowuje, niszczy, rzeczywiście lub pozornie obciąża albo uszkadza składniki swojego majątku, podlega karze pozbawienia wolności do lat 3. </w:t>
            </w:r>
          </w:p>
          <w:p w:rsidR="00025B8E" w:rsidRDefault="00C13F2C">
            <w:pPr>
              <w:ind w:left="709"/>
            </w:pPr>
            <w:r>
              <w:rPr>
                <w:rFonts w:ascii="Arial" w:eastAsia="Arial" w:hAnsi="Arial" w:cs="Arial"/>
                <w:sz w:val="18"/>
              </w:rPr>
              <w:t xml:space="preserve">§ 2. Kto, w celu udaremnienia wykonania orzeczenia sądu lub </w:t>
            </w:r>
          </w:p>
          <w:p w:rsidR="00025B8E" w:rsidRDefault="00C13F2C">
            <w:pPr>
              <w:spacing w:line="263" w:lineRule="auto"/>
              <w:ind w:right="147"/>
            </w:pPr>
            <w:r>
              <w:rPr>
                <w:rFonts w:ascii="Arial" w:eastAsia="Arial" w:hAnsi="Arial" w:cs="Arial"/>
                <w:sz w:val="18"/>
              </w:rPr>
              <w:t xml:space="preserve">innego organu państwowego, udaremnia lub uszczupla zaspokojenie swojego wierzyciela przez to, że usuwa, ukrywa, zbywa, darowuje, niszczy, rzeczywiście lub pozornie obciąża albo uszkadza składniki swojego majątku zajęte lub zagrożone zajęciem, bądź usuwa znaki zajęcia, podlega karze pozbawienia wolności od 3 miesięcy do lat 5. </w:t>
            </w:r>
          </w:p>
          <w:p w:rsidR="00025B8E" w:rsidRDefault="00C13F2C">
            <w:pPr>
              <w:ind w:left="709"/>
            </w:pPr>
            <w:r>
              <w:rPr>
                <w:rFonts w:ascii="Arial" w:eastAsia="Arial" w:hAnsi="Arial" w:cs="Arial"/>
                <w:sz w:val="18"/>
              </w:rPr>
              <w:t xml:space="preserve">§ 3. Jeżeli czyn określony w § 1 wyrządził szkodę wielu </w:t>
            </w:r>
          </w:p>
          <w:p w:rsidR="00025B8E" w:rsidRDefault="00C13F2C">
            <w:pPr>
              <w:spacing w:line="239" w:lineRule="auto"/>
              <w:ind w:right="17"/>
            </w:pPr>
            <w:r>
              <w:rPr>
                <w:rFonts w:ascii="Arial" w:eastAsia="Arial" w:hAnsi="Arial" w:cs="Arial"/>
                <w:sz w:val="18"/>
              </w:rPr>
              <w:t xml:space="preserve">wierzycielom, sprawca podlega karze pozbawienia wolności od 6 miesięcy do lat 8. </w:t>
            </w:r>
          </w:p>
          <w:p w:rsidR="00025B8E" w:rsidRDefault="00C13F2C">
            <w:pPr>
              <w:spacing w:after="14"/>
              <w:ind w:left="709"/>
            </w:pPr>
            <w:r>
              <w:rPr>
                <w:rFonts w:ascii="Arial" w:eastAsia="Arial" w:hAnsi="Arial" w:cs="Arial"/>
                <w:sz w:val="18"/>
              </w:rPr>
              <w:t xml:space="preserve">§ 4. Jeżeli pokrzywdzonym nie jest Skarb Państwa, ściganie </w:t>
            </w:r>
          </w:p>
          <w:p w:rsidR="00025B8E" w:rsidRDefault="00C13F2C">
            <w:pPr>
              <w:spacing w:line="257" w:lineRule="auto"/>
              <w:ind w:right="23"/>
            </w:pPr>
            <w:r>
              <w:rPr>
                <w:rFonts w:ascii="Arial" w:eastAsia="Arial" w:hAnsi="Arial" w:cs="Arial"/>
                <w:sz w:val="18"/>
              </w:rPr>
              <w:t xml:space="preserve">przestępstwa określonego w § 1 następuje na wniosek pokrzywdzonego. </w:t>
            </w:r>
            <w:r>
              <w:rPr>
                <w:rFonts w:ascii="Arial" w:eastAsia="Arial" w:hAnsi="Arial" w:cs="Arial"/>
                <w:b/>
                <w:sz w:val="18"/>
              </w:rPr>
              <w:t>Art. 301.</w:t>
            </w:r>
            <w:r>
              <w:rPr>
                <w:rFonts w:ascii="Arial" w:eastAsia="Arial" w:hAnsi="Arial" w:cs="Arial"/>
                <w:sz w:val="18"/>
              </w:rPr>
              <w:t xml:space="preserve"> § 1. Kto będąc dłużnikiem kilku wierzycieli udaremnia lub ogranicza zaspokojenie ich należności przez to, że tworzy w oparciu o przepisy prawa </w:t>
            </w:r>
            <w:r>
              <w:rPr>
                <w:rFonts w:ascii="Arial" w:eastAsia="Arial" w:hAnsi="Arial" w:cs="Arial"/>
                <w:sz w:val="18"/>
              </w:rPr>
              <w:lastRenderedPageBreak/>
              <w:t xml:space="preserve">nową jednostkę gospodarczą i przenosi na nią składniki swojego majątku, podlega karze pozbawienia wolności od 3 miesięcy do lat 5. </w:t>
            </w:r>
          </w:p>
          <w:p w:rsidR="00025B8E" w:rsidRDefault="00C13F2C">
            <w:pPr>
              <w:spacing w:after="14"/>
              <w:ind w:left="709"/>
            </w:pPr>
            <w:r>
              <w:rPr>
                <w:rFonts w:ascii="Arial" w:eastAsia="Arial" w:hAnsi="Arial" w:cs="Arial"/>
                <w:sz w:val="18"/>
              </w:rPr>
              <w:t xml:space="preserve">§ 2. Tej samej karze podlega, kto będąc dłużnikiem kilku wierzycieli </w:t>
            </w:r>
          </w:p>
          <w:p w:rsidR="00025B8E" w:rsidRDefault="00C13F2C">
            <w:r>
              <w:rPr>
                <w:rFonts w:ascii="Arial" w:eastAsia="Arial" w:hAnsi="Arial" w:cs="Arial"/>
                <w:sz w:val="18"/>
              </w:rPr>
              <w:t xml:space="preserve">doprowadza do swojej upadłości lub niewypłacalności.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42" w:type="dxa"/>
          <w:left w:w="108" w:type="dxa"/>
          <w:right w:w="76" w:type="dxa"/>
        </w:tblCellMar>
        <w:tblLook w:val="04A0" w:firstRow="1" w:lastRow="0" w:firstColumn="1" w:lastColumn="0" w:noHBand="0" w:noVBand="1"/>
      </w:tblPr>
      <w:tblGrid>
        <w:gridCol w:w="2971"/>
        <w:gridCol w:w="6359"/>
        <w:gridCol w:w="4664"/>
      </w:tblGrid>
      <w:tr w:rsidR="00025B8E">
        <w:trPr>
          <w:trHeight w:val="8913"/>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4"/>
              <w:ind w:left="709"/>
            </w:pPr>
            <w:r>
              <w:rPr>
                <w:rFonts w:ascii="Arial" w:eastAsia="Arial" w:hAnsi="Arial" w:cs="Arial"/>
                <w:sz w:val="18"/>
              </w:rPr>
              <w:t xml:space="preserve">§ 3. Kto będąc dłużnikiem kilku wierzycieli w sposób lekkomyślny </w:t>
            </w:r>
          </w:p>
          <w:p w:rsidR="00025B8E" w:rsidRDefault="00C13F2C">
            <w:pPr>
              <w:spacing w:after="22"/>
            </w:pPr>
            <w:r>
              <w:rPr>
                <w:rFonts w:ascii="Arial" w:eastAsia="Arial" w:hAnsi="Arial" w:cs="Arial"/>
                <w:sz w:val="18"/>
              </w:rPr>
              <w:t xml:space="preserve">doprowadza do swojej upadłości lub niewypłacalności, w szczególności przez trwonienie części składowych majątku, zaciąganie zobowiązań lub zawieranie transakcji oczywiście sprzecznych z zasadami gospodarowania, podlega grzywnie, karze ograniczenia wolności albo pozbawienia wolności do lat 2. </w:t>
            </w:r>
          </w:p>
          <w:p w:rsidR="00025B8E" w:rsidRDefault="00C13F2C">
            <w:pPr>
              <w:spacing w:line="254" w:lineRule="auto"/>
            </w:pPr>
            <w:r>
              <w:rPr>
                <w:rFonts w:ascii="Arial" w:eastAsia="Arial" w:hAnsi="Arial" w:cs="Arial"/>
                <w:b/>
                <w:sz w:val="18"/>
              </w:rPr>
              <w:t>Art. 302.</w:t>
            </w:r>
            <w:r>
              <w:rPr>
                <w:rFonts w:ascii="Arial" w:eastAsia="Arial" w:hAnsi="Arial" w:cs="Arial"/>
                <w:sz w:val="18"/>
              </w:rPr>
              <w:t xml:space="preserve"> § 1. Kto, w razie grożącej mu niewypłacalności lub upadłości, nie mogąc zaspokoić wszystkich wierzycieli, spłaca lub zabezpiecza tylko niektórych, czym działa na szkodę pozostałych, podlega grzywnie, karze ograniczenia wolności albo pozbawienia wolności do lat 2. </w:t>
            </w:r>
          </w:p>
          <w:p w:rsidR="00025B8E" w:rsidRDefault="00C13F2C">
            <w:pPr>
              <w:ind w:left="709"/>
            </w:pPr>
            <w:r>
              <w:rPr>
                <w:rFonts w:ascii="Arial" w:eastAsia="Arial" w:hAnsi="Arial" w:cs="Arial"/>
                <w:sz w:val="18"/>
              </w:rPr>
              <w:t xml:space="preserve">§ 2. Kto wierzycielowi udziela lub obiecuje udzielić korzyści </w:t>
            </w:r>
          </w:p>
          <w:p w:rsidR="00025B8E" w:rsidRDefault="00C13F2C">
            <w:pPr>
              <w:spacing w:after="16" w:line="258" w:lineRule="auto"/>
            </w:pPr>
            <w:r>
              <w:rPr>
                <w:rFonts w:ascii="Arial" w:eastAsia="Arial" w:hAnsi="Arial" w:cs="Arial"/>
                <w:sz w:val="18"/>
              </w:rPr>
              <w:t xml:space="preserve">majątkowej za działanie na szkodę innych wierzycieli w związku z postępowaniem upadłościowym lub  zmierzającym do zapobiegnięcia upadłości, podlega karze pozbawienia wolności do lat 3. </w:t>
            </w:r>
          </w:p>
          <w:p w:rsidR="00025B8E" w:rsidRDefault="00C13F2C">
            <w:pPr>
              <w:ind w:left="709"/>
            </w:pPr>
            <w:r>
              <w:rPr>
                <w:rFonts w:ascii="Arial" w:eastAsia="Arial" w:hAnsi="Arial" w:cs="Arial"/>
                <w:sz w:val="18"/>
              </w:rPr>
              <w:t xml:space="preserve">§ 3. Tej samej karze podlega wierzyciel, który w związku z </w:t>
            </w:r>
          </w:p>
          <w:p w:rsidR="00025B8E" w:rsidRDefault="00C13F2C">
            <w:pPr>
              <w:spacing w:line="276" w:lineRule="auto"/>
            </w:pPr>
            <w:r>
              <w:rPr>
                <w:rFonts w:ascii="Arial" w:eastAsia="Arial" w:hAnsi="Arial" w:cs="Arial"/>
                <w:sz w:val="18"/>
              </w:rPr>
              <w:t xml:space="preserve">określonym w § 2 postępowaniem przyjmuje korzyść za działanie na szkodę innych wierzycieli albo takiej korzyści żąda. </w:t>
            </w:r>
          </w:p>
          <w:p w:rsidR="00025B8E" w:rsidRDefault="00C13F2C">
            <w:pPr>
              <w:spacing w:line="260" w:lineRule="auto"/>
              <w:ind w:right="15"/>
            </w:pPr>
            <w:r>
              <w:rPr>
                <w:rFonts w:ascii="Arial" w:eastAsia="Arial" w:hAnsi="Arial" w:cs="Arial"/>
                <w:b/>
                <w:sz w:val="18"/>
              </w:rPr>
              <w:t>Art. 303.</w:t>
            </w:r>
            <w:r>
              <w:rPr>
                <w:rFonts w:ascii="Arial" w:eastAsia="Arial" w:hAnsi="Arial" w:cs="Arial"/>
                <w:sz w:val="18"/>
              </w:rPr>
              <w:t xml:space="preserve"> § 1. Kto wyrządza szkodę majątkową osobie fizycznej, prawnej albo jednostce organizacyjnej nie mającej osobowości prawnej, przez nieprowadzenie dokumentacji działalności gospodarczej albo prowadzenie jej w sposób nierzetelny lub niezgodny z prawdą, w szczególności niszcząc, usuwając, ukrywając, przerabiając lub podrabiając dokumenty dotyczące tej działalności, podlega karze pozbawienia wolności do lat 3. </w:t>
            </w:r>
          </w:p>
          <w:p w:rsidR="00025B8E" w:rsidRDefault="00C13F2C">
            <w:pPr>
              <w:ind w:left="709"/>
            </w:pPr>
            <w:r>
              <w:rPr>
                <w:rFonts w:ascii="Arial" w:eastAsia="Arial" w:hAnsi="Arial" w:cs="Arial"/>
                <w:sz w:val="18"/>
              </w:rPr>
              <w:t xml:space="preserve">§ 2. Jeżeli sprawca przestępstwa określonego w § 1 wyrządza </w:t>
            </w:r>
          </w:p>
          <w:p w:rsidR="00025B8E" w:rsidRDefault="00C13F2C">
            <w:pPr>
              <w:spacing w:line="275" w:lineRule="auto"/>
            </w:pPr>
            <w:r>
              <w:rPr>
                <w:rFonts w:ascii="Arial" w:eastAsia="Arial" w:hAnsi="Arial" w:cs="Arial"/>
                <w:sz w:val="18"/>
              </w:rPr>
              <w:t xml:space="preserve">znaczną szkodę majątkową, podlega karze pozbawienia wolności od 3 miesięcy do lat 5. </w:t>
            </w:r>
          </w:p>
          <w:p w:rsidR="00025B8E" w:rsidRDefault="00C13F2C">
            <w:pPr>
              <w:ind w:left="709"/>
            </w:pPr>
            <w:r>
              <w:rPr>
                <w:rFonts w:ascii="Arial" w:eastAsia="Arial" w:hAnsi="Arial" w:cs="Arial"/>
                <w:sz w:val="18"/>
              </w:rPr>
              <w:t xml:space="preserve">§ 3. W wypadku mniejszej wagi, sprawca przestępstwa określonego </w:t>
            </w:r>
          </w:p>
          <w:p w:rsidR="00025B8E" w:rsidRDefault="00C13F2C">
            <w:pPr>
              <w:spacing w:line="275" w:lineRule="auto"/>
            </w:pPr>
            <w:r>
              <w:rPr>
                <w:rFonts w:ascii="Arial" w:eastAsia="Arial" w:hAnsi="Arial" w:cs="Arial"/>
                <w:sz w:val="18"/>
              </w:rPr>
              <w:t xml:space="preserve">w § 1 podlega grzywnie, karze ograniczenia wolności albo pozbawienia wolności do roku. </w:t>
            </w:r>
          </w:p>
          <w:p w:rsidR="00025B8E" w:rsidRDefault="00C13F2C">
            <w:pPr>
              <w:spacing w:after="14"/>
              <w:ind w:left="709"/>
            </w:pPr>
            <w:r>
              <w:rPr>
                <w:rFonts w:ascii="Arial" w:eastAsia="Arial" w:hAnsi="Arial" w:cs="Arial"/>
                <w:sz w:val="18"/>
              </w:rPr>
              <w:t xml:space="preserve">§ 4. Jeżeli pokrzywdzonym nie jest Skarb Państwa, ściganie </w:t>
            </w:r>
          </w:p>
          <w:p w:rsidR="00025B8E" w:rsidRDefault="00C13F2C">
            <w:pPr>
              <w:spacing w:after="15" w:line="252" w:lineRule="auto"/>
              <w:ind w:right="27"/>
            </w:pPr>
            <w:r>
              <w:rPr>
                <w:rFonts w:ascii="Arial" w:eastAsia="Arial" w:hAnsi="Arial" w:cs="Arial"/>
                <w:sz w:val="18"/>
              </w:rPr>
              <w:t xml:space="preserve">przestępstwa określonego w § 1–3 następuje na wniosek pokrzywdzonego. </w:t>
            </w:r>
            <w:r>
              <w:rPr>
                <w:rFonts w:ascii="Arial" w:eastAsia="Arial" w:hAnsi="Arial" w:cs="Arial"/>
                <w:b/>
                <w:sz w:val="18"/>
              </w:rPr>
              <w:t>Art. 304.</w:t>
            </w:r>
            <w:r>
              <w:rPr>
                <w:rFonts w:ascii="Arial" w:eastAsia="Arial" w:hAnsi="Arial" w:cs="Arial"/>
                <w:sz w:val="18"/>
              </w:rPr>
              <w:t xml:space="preserve"> Kto, wyzyskując przymusowe położenie innej osoby fizycznej, prawnej albo jednostki organizacyjnej nie mającej osobowości prawnej, zawiera z nią umowę, nakładając na nią obowiązek świadczenia niewspółmiernego ze świadczeniem wzajemnym, podlega karze pozbawienia wolności do lat 3. </w:t>
            </w:r>
          </w:p>
          <w:p w:rsidR="00025B8E" w:rsidRDefault="00C13F2C">
            <w:pPr>
              <w:spacing w:line="241" w:lineRule="auto"/>
            </w:pPr>
            <w:r>
              <w:rPr>
                <w:rFonts w:ascii="Arial" w:eastAsia="Arial" w:hAnsi="Arial" w:cs="Arial"/>
                <w:b/>
                <w:sz w:val="18"/>
              </w:rPr>
              <w:t>Art. 305.</w:t>
            </w:r>
            <w:r>
              <w:rPr>
                <w:rFonts w:ascii="Arial" w:eastAsia="Arial" w:hAnsi="Arial" w:cs="Arial"/>
                <w:sz w:val="18"/>
              </w:rPr>
              <w:t xml:space="preserve"> § 1. Kto, w celu osiągnięcia korzyści majątkowej, udaremnia lub utrudnia przetarg publiczny albo wchodzi w porozumienie z inną osobą działając na szkodę właściciela mienia albo osoby lub instytucji, na rzecz </w:t>
            </w:r>
            <w:r>
              <w:rPr>
                <w:rFonts w:ascii="Arial" w:eastAsia="Arial" w:hAnsi="Arial" w:cs="Arial"/>
                <w:sz w:val="18"/>
              </w:rPr>
              <w:lastRenderedPageBreak/>
              <w:t xml:space="preserve">której przetarg jest dokonywany, podlega karze pozbawienia wolności do lat 3. </w:t>
            </w:r>
          </w:p>
          <w:p w:rsidR="00025B8E" w:rsidRDefault="00C13F2C">
            <w:pPr>
              <w:ind w:left="709"/>
            </w:pPr>
            <w:r>
              <w:rPr>
                <w:rFonts w:ascii="Arial" w:eastAsia="Arial" w:hAnsi="Arial" w:cs="Arial"/>
                <w:sz w:val="18"/>
              </w:rPr>
              <w:t xml:space="preserve">§ 2. Tej samej karze podlega, kto w związku z publicznym </w:t>
            </w:r>
          </w:p>
          <w:p w:rsidR="00025B8E" w:rsidRDefault="00C13F2C">
            <w:r>
              <w:rPr>
                <w:rFonts w:ascii="Arial" w:eastAsia="Arial" w:hAnsi="Arial" w:cs="Arial"/>
                <w:sz w:val="18"/>
              </w:rPr>
              <w:t xml:space="preserve">przetargiem rozpowszechnia informacje lub przemilcza istotne okoliczności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025B8E">
      <w:pPr>
        <w:spacing w:after="0"/>
        <w:ind w:left="-1406" w:right="8"/>
      </w:pPr>
    </w:p>
    <w:tbl>
      <w:tblPr>
        <w:tblStyle w:val="TableGrid"/>
        <w:tblW w:w="13994" w:type="dxa"/>
        <w:tblInd w:w="17" w:type="dxa"/>
        <w:tblCellMar>
          <w:top w:w="33" w:type="dxa"/>
          <w:left w:w="108" w:type="dxa"/>
          <w:right w:w="82" w:type="dxa"/>
        </w:tblCellMar>
        <w:tblLook w:val="04A0" w:firstRow="1" w:lastRow="0" w:firstColumn="1" w:lastColumn="0" w:noHBand="0" w:noVBand="1"/>
      </w:tblPr>
      <w:tblGrid>
        <w:gridCol w:w="2971"/>
        <w:gridCol w:w="6359"/>
        <w:gridCol w:w="4664"/>
      </w:tblGrid>
      <w:tr w:rsidR="00025B8E">
        <w:trPr>
          <w:trHeight w:val="4772"/>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5" w:lineRule="auto"/>
            </w:pPr>
            <w:r>
              <w:rPr>
                <w:rFonts w:ascii="Arial" w:eastAsia="Arial" w:hAnsi="Arial" w:cs="Arial"/>
                <w:sz w:val="18"/>
              </w:rPr>
              <w:t xml:space="preserve">mające znaczenie dla zawarcia umowy będącej przedmiotem przetargu albo wchodzi w porozumienie z inną osobą, działając na szkodę właściciela mienia albo osoby lub instytucji, na rzecz której przetarg jest dokonywany. </w:t>
            </w:r>
          </w:p>
          <w:p w:rsidR="00025B8E" w:rsidRDefault="00C13F2C">
            <w:pPr>
              <w:spacing w:after="14"/>
              <w:ind w:left="39"/>
              <w:jc w:val="center"/>
            </w:pPr>
            <w:r>
              <w:rPr>
                <w:rFonts w:ascii="Arial" w:eastAsia="Arial" w:hAnsi="Arial" w:cs="Arial"/>
                <w:sz w:val="18"/>
              </w:rPr>
              <w:t xml:space="preserve">§ 3. Jeżeli pokrzywdzonym nie jest Skarb Państwa, ściganie </w:t>
            </w:r>
          </w:p>
          <w:p w:rsidR="00025B8E" w:rsidRDefault="00C13F2C">
            <w:pPr>
              <w:spacing w:after="23" w:line="239" w:lineRule="auto"/>
            </w:pPr>
            <w:r>
              <w:rPr>
                <w:rFonts w:ascii="Arial" w:eastAsia="Arial" w:hAnsi="Arial" w:cs="Arial"/>
                <w:sz w:val="18"/>
              </w:rPr>
              <w:t xml:space="preserve">przestępstwa określonego w § 1 lub 2 następuje na wniosek pokrzywdzonego. </w:t>
            </w:r>
          </w:p>
          <w:p w:rsidR="00025B8E" w:rsidRDefault="00C13F2C">
            <w:pPr>
              <w:spacing w:after="1" w:line="262" w:lineRule="auto"/>
            </w:pPr>
            <w:r>
              <w:rPr>
                <w:rFonts w:ascii="Arial" w:eastAsia="Arial" w:hAnsi="Arial" w:cs="Arial"/>
                <w:b/>
                <w:sz w:val="18"/>
              </w:rPr>
              <w:t>Art. 306.</w:t>
            </w:r>
            <w:r>
              <w:rPr>
                <w:rFonts w:ascii="Arial" w:eastAsia="Arial" w:hAnsi="Arial" w:cs="Arial"/>
                <w:sz w:val="18"/>
              </w:rPr>
              <w:t xml:space="preserve"> Kto usuwa, podrabia lub przerabia znaki identyfikacyjne, datę produkcji lub datę przydatności towaru lub urządzenia, podlega karze pozbawienia wolności do lat 3. </w:t>
            </w:r>
          </w:p>
          <w:p w:rsidR="00025B8E" w:rsidRDefault="00C13F2C">
            <w:pPr>
              <w:spacing w:line="262" w:lineRule="auto"/>
            </w:pPr>
            <w:r>
              <w:rPr>
                <w:rFonts w:ascii="Arial" w:eastAsia="Arial" w:hAnsi="Arial" w:cs="Arial"/>
                <w:b/>
                <w:sz w:val="18"/>
              </w:rPr>
              <w:t>Art. 307.</w:t>
            </w:r>
            <w:r>
              <w:rPr>
                <w:rFonts w:ascii="Arial" w:eastAsia="Arial" w:hAnsi="Arial" w:cs="Arial"/>
                <w:sz w:val="18"/>
              </w:rPr>
              <w:t xml:space="preserve"> § 1. Wobec sprawcy przestępstwa określonego w art. 296 lub 299– 305, który dobrowolnie naprawił szkodę w całości, sąd może zastosować nadzwyczajne złagodzenie kary, a nawet odstąpić od jej wymierzenia. </w:t>
            </w:r>
          </w:p>
          <w:p w:rsidR="00025B8E" w:rsidRDefault="00C13F2C">
            <w:pPr>
              <w:ind w:left="709"/>
            </w:pPr>
            <w:r>
              <w:rPr>
                <w:rFonts w:ascii="Arial" w:eastAsia="Arial" w:hAnsi="Arial" w:cs="Arial"/>
                <w:sz w:val="18"/>
              </w:rPr>
              <w:t xml:space="preserve">§ 2. Wobec sprawcy przestępstwa wymienionego w § 1, który </w:t>
            </w:r>
          </w:p>
          <w:p w:rsidR="00025B8E" w:rsidRDefault="00C13F2C">
            <w:pPr>
              <w:spacing w:line="276" w:lineRule="auto"/>
            </w:pPr>
            <w:r>
              <w:rPr>
                <w:rFonts w:ascii="Arial" w:eastAsia="Arial" w:hAnsi="Arial" w:cs="Arial"/>
                <w:sz w:val="18"/>
              </w:rPr>
              <w:t xml:space="preserve">dobrowolnie naprawił szkodę w znacznej części, sąd może zastosować nadzwyczajne złagodzenie kary. </w:t>
            </w:r>
          </w:p>
          <w:p w:rsidR="00025B8E" w:rsidRDefault="00C13F2C">
            <w:pPr>
              <w:spacing w:after="7" w:line="258" w:lineRule="auto"/>
            </w:pPr>
            <w:r>
              <w:rPr>
                <w:rFonts w:ascii="Arial" w:eastAsia="Arial" w:hAnsi="Arial" w:cs="Arial"/>
                <w:b/>
                <w:sz w:val="18"/>
              </w:rPr>
              <w:t>Art. 308.</w:t>
            </w:r>
            <w:r>
              <w:rPr>
                <w:rFonts w:ascii="Arial" w:eastAsia="Arial" w:hAnsi="Arial" w:cs="Arial"/>
                <w:sz w:val="18"/>
              </w:rPr>
              <w:t xml:space="preserve"> Za przestępstwa określone w tym rozdziale odpowiada jak dłużnik lub wierzyciel, kto, na podstawie przepisu prawnego, decyzji właściwego organu, umowy lub faktycznego wykonywania, zajmuje się sprawami majątkowymi innej osoby prawnej, fizycznej, grupy osób lub podmiotu nie mającego osobowości prawnej. </w:t>
            </w:r>
          </w:p>
          <w:p w:rsidR="00025B8E" w:rsidRDefault="00C13F2C">
            <w:pPr>
              <w:ind w:right="6"/>
            </w:pPr>
            <w:r>
              <w:rPr>
                <w:rFonts w:ascii="Arial" w:eastAsia="Arial" w:hAnsi="Arial" w:cs="Arial"/>
                <w:b/>
                <w:sz w:val="18"/>
              </w:rPr>
              <w:t>Art. 309.</w:t>
            </w:r>
            <w:r>
              <w:rPr>
                <w:rFonts w:ascii="Arial" w:eastAsia="Arial" w:hAnsi="Arial" w:cs="Arial"/>
                <w:sz w:val="18"/>
              </w:rPr>
              <w:t xml:space="preserve"> W razie skazania za przestępstwo określone w art. 296 § 3, art. 297 § 1 lub art. 299, grzywnę orzeczoną obok kary pozbawienia wolności można wymierzyć w wysokości do 3000 stawek dziennych.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4151"/>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36"/>
            </w:pPr>
            <w:r>
              <w:rPr>
                <w:rFonts w:ascii="Arial" w:eastAsia="Arial" w:hAnsi="Arial" w:cs="Arial"/>
              </w:rPr>
              <w:lastRenderedPageBreak/>
              <w:t xml:space="preserve">art. 299 Kodeksu karnego </w:t>
            </w:r>
          </w:p>
          <w:p w:rsidR="00025B8E" w:rsidRDefault="00C13F2C">
            <w:r>
              <w:rPr>
                <w:rFonts w:ascii="Arial" w:eastAsia="Arial" w:hAnsi="Arial" w:cs="Arial"/>
              </w:rPr>
              <w:t xml:space="preserve">[pranie pieniędzy]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4" w:line="248" w:lineRule="auto"/>
              <w:ind w:right="51"/>
            </w:pPr>
            <w:r>
              <w:rPr>
                <w:rFonts w:ascii="Arial" w:eastAsia="Arial" w:hAnsi="Arial" w:cs="Arial"/>
                <w:b/>
                <w:sz w:val="18"/>
              </w:rPr>
              <w:t>Art. 299</w:t>
            </w:r>
            <w:r>
              <w:rPr>
                <w:rFonts w:ascii="Arial" w:eastAsia="Arial" w:hAnsi="Arial" w:cs="Arial"/>
                <w:sz w:val="18"/>
              </w:rPr>
              <w:t xml:space="preserve">. § 1. Kto środki płatnicze, instrumenty finansowe, papiery wartościowe, wartości dewizowe, prawa majątkowe lub inne mienie ruchome lub nieruchomości, pochodzące z korzyści związanych z popełnieniem czynu zabronionego, przyjmuje, posiada, używa, przekazuje lub wywozi za granicę, ukrywa, dokonuje ich transferu lub konwersji, pomaga do przenoszenia ich własności lub posiadania albo podejmuje inne czynności, które mogą udaremnić lub znacznie utrudnić stwierdzenie ich  przestępnego pochodzenia lub miejsca umieszczenia, ich wykrycie, zajęcie albo orzeczenie przepadku, podlega karze pozbawienia wolności od 6 miesięcy do lat 8. § 2. Karze określonej w § 1 podlega, kto będąc pracownikiem lub </w:t>
            </w:r>
          </w:p>
          <w:p w:rsidR="00025B8E" w:rsidRDefault="00C13F2C">
            <w:r>
              <w:rPr>
                <w:rFonts w:ascii="Arial" w:eastAsia="Arial" w:hAnsi="Arial" w:cs="Arial"/>
                <w:sz w:val="18"/>
              </w:rPr>
              <w:t xml:space="preserve">działając w imieniu lub na rzecz banku, instytucji finansowej lub kredytowej lub innego podmiotu, na którym na podstawie przepisów prawa ciąży obowiązek rejestracji transakcji i osób dokonujących transakcji, przyjmuje, wbrew przepisom, środki płatnicze, instrumenty finansowe, papiery wartościowe, wartości dewizowe, dokonuje ich transferu lub konwersji, lub przyjmuje je w innych okolicznościach wzbudzających uzasadnione podejrzenie, że stanowią one przedmiot czynu określonego w § 1, lub świadczy inne usługi mające ukryć ich przestępne pochodzenie lub usługi w zabezpieczeniu przed zajęciem.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24"/>
              <w:jc w:val="center"/>
            </w:pPr>
            <w:r>
              <w:rPr>
                <w:rFonts w:ascii="Arial" w:eastAsia="Arial" w:hAnsi="Arial" w:cs="Arial"/>
              </w:rPr>
              <w:t xml:space="preserve">III.A pkt 5 </w:t>
            </w:r>
          </w:p>
        </w:tc>
      </w:tr>
    </w:tbl>
    <w:p w:rsidR="00025B8E" w:rsidRDefault="00025B8E">
      <w:pPr>
        <w:spacing w:after="0"/>
        <w:ind w:left="-1406" w:right="8"/>
      </w:pPr>
    </w:p>
    <w:tbl>
      <w:tblPr>
        <w:tblStyle w:val="TableGrid"/>
        <w:tblW w:w="13994" w:type="dxa"/>
        <w:tblInd w:w="17" w:type="dxa"/>
        <w:tblCellMar>
          <w:top w:w="11" w:type="dxa"/>
          <w:left w:w="108" w:type="dxa"/>
          <w:right w:w="92" w:type="dxa"/>
        </w:tblCellMar>
        <w:tblLook w:val="04A0" w:firstRow="1" w:lastRow="0" w:firstColumn="1" w:lastColumn="0" w:noHBand="0" w:noVBand="1"/>
      </w:tblPr>
      <w:tblGrid>
        <w:gridCol w:w="2972"/>
        <w:gridCol w:w="6359"/>
        <w:gridCol w:w="4663"/>
      </w:tblGrid>
      <w:tr w:rsidR="00025B8E">
        <w:trPr>
          <w:trHeight w:val="4357"/>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75" w:lineRule="auto"/>
              <w:ind w:left="709" w:right="4069"/>
            </w:pPr>
            <w:r>
              <w:rPr>
                <w:rFonts w:ascii="Arial" w:eastAsia="Arial" w:hAnsi="Arial" w:cs="Arial"/>
                <w:sz w:val="18"/>
              </w:rPr>
              <w:t xml:space="preserve">§ 3. (uchylony). § 4. (uchylony). </w:t>
            </w:r>
          </w:p>
          <w:p w:rsidR="00025B8E" w:rsidRDefault="00C13F2C">
            <w:pPr>
              <w:ind w:left="709"/>
            </w:pPr>
            <w:r>
              <w:rPr>
                <w:rFonts w:ascii="Arial" w:eastAsia="Arial" w:hAnsi="Arial" w:cs="Arial"/>
                <w:sz w:val="18"/>
              </w:rPr>
              <w:t xml:space="preserve">§ 5. Jeżeli sprawca dopuszcza się czynu określonego w § 1 lub 2, </w:t>
            </w:r>
          </w:p>
          <w:p w:rsidR="00025B8E" w:rsidRDefault="00C13F2C">
            <w:pPr>
              <w:spacing w:line="275" w:lineRule="auto"/>
            </w:pPr>
            <w:r>
              <w:rPr>
                <w:rFonts w:ascii="Arial" w:eastAsia="Arial" w:hAnsi="Arial" w:cs="Arial"/>
                <w:sz w:val="18"/>
              </w:rPr>
              <w:t xml:space="preserve">działając w porozumieniu z innymi osobami, podlega karze pozbawienia wolności od roku do lat 10. </w:t>
            </w:r>
          </w:p>
          <w:p w:rsidR="00025B8E" w:rsidRDefault="00C13F2C">
            <w:pPr>
              <w:spacing w:after="14"/>
              <w:ind w:left="709"/>
            </w:pPr>
            <w:r>
              <w:rPr>
                <w:rFonts w:ascii="Arial" w:eastAsia="Arial" w:hAnsi="Arial" w:cs="Arial"/>
                <w:sz w:val="18"/>
              </w:rPr>
              <w:t xml:space="preserve">§ 6. Karze określonej w § 5 podlega sprawca, jeżeli dopuszczając </w:t>
            </w:r>
          </w:p>
          <w:p w:rsidR="00025B8E" w:rsidRDefault="00C13F2C">
            <w:r>
              <w:rPr>
                <w:rFonts w:ascii="Arial" w:eastAsia="Arial" w:hAnsi="Arial" w:cs="Arial"/>
                <w:sz w:val="18"/>
              </w:rPr>
              <w:t xml:space="preserve">się czynu określonego w § 1 lub 2, osiąga znaczną korzyść majątkową. </w:t>
            </w:r>
          </w:p>
          <w:p w:rsidR="00025B8E" w:rsidRDefault="00C13F2C">
            <w:pPr>
              <w:spacing w:after="14"/>
              <w:ind w:left="709"/>
            </w:pPr>
            <w:r>
              <w:rPr>
                <w:rFonts w:ascii="Arial" w:eastAsia="Arial" w:hAnsi="Arial" w:cs="Arial"/>
                <w:sz w:val="18"/>
              </w:rPr>
              <w:t xml:space="preserve">§ 6a. Kto czyni przygotowania do przestępstwa określonego w § 1 </w:t>
            </w:r>
          </w:p>
          <w:p w:rsidR="00025B8E" w:rsidRDefault="00C13F2C">
            <w:r>
              <w:rPr>
                <w:rFonts w:ascii="Arial" w:eastAsia="Arial" w:hAnsi="Arial" w:cs="Arial"/>
                <w:sz w:val="18"/>
              </w:rPr>
              <w:t xml:space="preserve">lub 2, podlega karze pozbawienia wolności do lat 3. </w:t>
            </w:r>
          </w:p>
          <w:p w:rsidR="00025B8E" w:rsidRDefault="00C13F2C">
            <w:pPr>
              <w:ind w:left="709"/>
            </w:pPr>
            <w:r>
              <w:rPr>
                <w:rFonts w:ascii="Arial" w:eastAsia="Arial" w:hAnsi="Arial" w:cs="Arial"/>
                <w:sz w:val="18"/>
              </w:rPr>
              <w:t xml:space="preserve">§ 7. W razie skazania za przestępstwo określone w § 1 lub 2, sąd </w:t>
            </w:r>
          </w:p>
          <w:p w:rsidR="00025B8E" w:rsidRDefault="00C13F2C">
            <w:pPr>
              <w:spacing w:after="2"/>
            </w:pPr>
            <w:r>
              <w:rPr>
                <w:rFonts w:ascii="Arial" w:eastAsia="Arial" w:hAnsi="Arial" w:cs="Arial"/>
                <w:sz w:val="18"/>
              </w:rPr>
              <w:t xml:space="preserve">orzeka przepadek przedmiotów pochodzących bezpośrednio albo pośrednio z przestępstwa, a także korzyści z tego przestępstwa lub ich równowartość, chociażby nie stanowiły one własności sprawcy. Przepadku nie orzeka się w całości lub w części, jeżeli przedmiot, korzyść lub jej równowartość podlega zwrotowi pokrzywdzonemu lub innemu podmiotowi. </w:t>
            </w:r>
          </w:p>
          <w:p w:rsidR="00025B8E" w:rsidRDefault="00C13F2C">
            <w:pPr>
              <w:ind w:left="709"/>
            </w:pPr>
            <w:r>
              <w:rPr>
                <w:rFonts w:ascii="Arial" w:eastAsia="Arial" w:hAnsi="Arial" w:cs="Arial"/>
                <w:sz w:val="18"/>
              </w:rPr>
              <w:t xml:space="preserve">§ 8. Nie podlega karze za przestępstwo określone w § 1 lub 2, kto </w:t>
            </w:r>
          </w:p>
          <w:p w:rsidR="00025B8E" w:rsidRDefault="00C13F2C">
            <w:pPr>
              <w:ind w:right="10"/>
            </w:pPr>
            <w:r>
              <w:rPr>
                <w:rFonts w:ascii="Arial" w:eastAsia="Arial" w:hAnsi="Arial" w:cs="Arial"/>
                <w:sz w:val="18"/>
              </w:rPr>
              <w:t xml:space="preserve">dobrowolnie ujawnił wobec organu powołanego do ścigania przestępstw informacje dotyczące osób uczestniczących w popełnieniu przestępstwa oraz okoliczności jego popełnienia, jeżeli zapobiegło to popełnieniu innego przestępstwa; jeżeli sprawca czynił starania zmierzające do ujawnienia tych informacji i okoliczności, sąd stosuje nadzwyczajne złagodzenie kary.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3529"/>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100"/>
            </w:pPr>
            <w:r>
              <w:rPr>
                <w:rFonts w:ascii="Arial" w:eastAsia="Arial" w:hAnsi="Arial" w:cs="Arial"/>
              </w:rPr>
              <w:lastRenderedPageBreak/>
              <w:t xml:space="preserve">art. 46 ustawy o sporcie </w:t>
            </w:r>
          </w:p>
          <w:p w:rsidR="00025B8E" w:rsidRDefault="00C13F2C">
            <w:pPr>
              <w:spacing w:line="239" w:lineRule="auto"/>
            </w:pPr>
            <w:r>
              <w:rPr>
                <w:rFonts w:ascii="Arial" w:eastAsia="Arial" w:hAnsi="Arial" w:cs="Arial"/>
              </w:rPr>
              <w:t xml:space="preserve">[korupcja w sporcie: przestępstwo sprzedajności sportowej (art. 46 ust. 1) oraz przestępstwo </w:t>
            </w:r>
          </w:p>
          <w:p w:rsidR="00025B8E" w:rsidRDefault="00C13F2C">
            <w:r>
              <w:rPr>
                <w:rFonts w:ascii="Arial" w:eastAsia="Arial" w:hAnsi="Arial" w:cs="Arial"/>
              </w:rPr>
              <w:t xml:space="preserve">przekupstwa sportowego </w:t>
            </w:r>
          </w:p>
          <w:p w:rsidR="00025B8E" w:rsidRDefault="00C13F2C">
            <w:r>
              <w:rPr>
                <w:rFonts w:ascii="Arial" w:eastAsia="Arial" w:hAnsi="Arial" w:cs="Arial"/>
              </w:rPr>
              <w:t xml:space="preserve">(art. 46 ust. 2)]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24" w:line="247" w:lineRule="auto"/>
            </w:pPr>
            <w:r>
              <w:rPr>
                <w:rFonts w:ascii="Arial" w:eastAsia="Arial" w:hAnsi="Arial" w:cs="Arial"/>
                <w:b/>
                <w:sz w:val="18"/>
              </w:rPr>
              <w:t xml:space="preserve">Art. 46. </w:t>
            </w:r>
            <w:r>
              <w:rPr>
                <w:rFonts w:ascii="Arial" w:eastAsia="Arial" w:hAnsi="Arial" w:cs="Arial"/>
                <w:sz w:val="18"/>
              </w:rPr>
              <w:t xml:space="preserve">1. Kto, w związku z zawodami sportowymi organizowanymi przez polski związek sportowy lub podmiot działający na podstawie umowy zawartej z tym związkiem, lub podmiot działający z jego upoważnienia, przyjmuje korzyść majątkową lub osobistą albo jej obietnicę lub takiej korzyści albo jej obietnicy żąda w zamian za nieuczciwe zachowanie, mogące mieć wpływ na wynik lub przebieg tych zawodów, podlega karze pozbawienia wolności od 6 miesięcy do lat 8. </w:t>
            </w:r>
          </w:p>
          <w:p w:rsidR="00025B8E" w:rsidRDefault="00C13F2C">
            <w:pPr>
              <w:numPr>
                <w:ilvl w:val="0"/>
                <w:numId w:val="31"/>
              </w:numPr>
              <w:spacing w:after="8" w:line="266" w:lineRule="auto"/>
              <w:ind w:right="51" w:firstLine="481"/>
            </w:pPr>
            <w:r>
              <w:rPr>
                <w:rFonts w:ascii="Arial" w:eastAsia="Arial" w:hAnsi="Arial" w:cs="Arial"/>
                <w:sz w:val="18"/>
              </w:rPr>
              <w:t xml:space="preserve">Tej samej karze podlega, kto w wypadkach określonych w ust. 1 udziela albo obiecuje udzielić korzyści majątkowej lub osobistej. </w:t>
            </w:r>
          </w:p>
          <w:p w:rsidR="00025B8E" w:rsidRDefault="00C13F2C">
            <w:pPr>
              <w:numPr>
                <w:ilvl w:val="0"/>
                <w:numId w:val="31"/>
              </w:numPr>
              <w:ind w:right="51" w:firstLine="481"/>
            </w:pPr>
            <w:r>
              <w:rPr>
                <w:rFonts w:ascii="Arial" w:eastAsia="Arial" w:hAnsi="Arial" w:cs="Arial"/>
                <w:sz w:val="18"/>
              </w:rPr>
              <w:t xml:space="preserve">W wypadku mniejszej wagi, sprawca czynu określonego w ust. 1 lub </w:t>
            </w:r>
          </w:p>
          <w:p w:rsidR="00025B8E" w:rsidRDefault="00C13F2C">
            <w:pPr>
              <w:spacing w:after="31" w:line="239" w:lineRule="auto"/>
              <w:ind w:left="481" w:right="486" w:hanging="481"/>
            </w:pPr>
            <w:r>
              <w:rPr>
                <w:rFonts w:ascii="Arial" w:eastAsia="Arial" w:hAnsi="Arial" w:cs="Arial"/>
                <w:sz w:val="18"/>
              </w:rPr>
              <w:t xml:space="preserve">2 podlega grzywnie, karze ograniczenia wolności albo pozbawienia </w:t>
            </w:r>
          </w:p>
          <w:p w:rsidR="00025B8E" w:rsidRDefault="00C13F2C">
            <w:pPr>
              <w:spacing w:after="14"/>
            </w:pPr>
            <w:r>
              <w:rPr>
                <w:rFonts w:ascii="Arial" w:eastAsia="Arial" w:hAnsi="Arial" w:cs="Arial"/>
                <w:sz w:val="18"/>
              </w:rPr>
              <w:t xml:space="preserve">wolności do lat 2. </w:t>
            </w:r>
          </w:p>
          <w:p w:rsidR="00025B8E" w:rsidRDefault="00C13F2C">
            <w:pPr>
              <w:ind w:firstLine="481"/>
            </w:pPr>
            <w:r>
              <w:rPr>
                <w:rFonts w:ascii="Arial" w:eastAsia="Arial" w:hAnsi="Arial" w:cs="Arial"/>
                <w:sz w:val="18"/>
              </w:rPr>
              <w:t xml:space="preserve">4. Jeżeli sprawca czynu określonego w ust. 1 lub 2 przyjmuje korzyść majątkową znacznej wartości albo jej obietnicę lub udziela takiej korzyści albo jej obietnicy lub takiej korzyści albo jej obietnicy żąda, podlega karze pozbawienia wolności od roku do lat 10.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14"/>
              <w:jc w:val="center"/>
            </w:pPr>
            <w:r>
              <w:rPr>
                <w:rFonts w:ascii="Arial" w:eastAsia="Arial" w:hAnsi="Arial" w:cs="Arial"/>
              </w:rPr>
              <w:t xml:space="preserve">III.A pkt 2 </w:t>
            </w:r>
          </w:p>
        </w:tc>
      </w:tr>
      <w:tr w:rsidR="00025B8E">
        <w:trPr>
          <w:trHeight w:val="1142"/>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spacing w:after="98"/>
            </w:pPr>
            <w:r>
              <w:rPr>
                <w:rFonts w:ascii="Arial" w:eastAsia="Arial" w:hAnsi="Arial" w:cs="Arial"/>
              </w:rPr>
              <w:t xml:space="preserve">art. 48 ustawy o sporcie </w:t>
            </w:r>
          </w:p>
          <w:p w:rsidR="00025B8E" w:rsidRDefault="00C13F2C">
            <w:r>
              <w:rPr>
                <w:rFonts w:ascii="Arial" w:eastAsia="Arial" w:hAnsi="Arial" w:cs="Arial"/>
              </w:rPr>
              <w:t xml:space="preserve">[korupcja w sporcie: przestępstwo płatnej protekcji w sporcie (art. 48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b/>
                <w:sz w:val="18"/>
              </w:rPr>
              <w:t xml:space="preserve">Art. 48. </w:t>
            </w:r>
            <w:r>
              <w:rPr>
                <w:rFonts w:ascii="Arial" w:eastAsia="Arial" w:hAnsi="Arial" w:cs="Arial"/>
                <w:sz w:val="18"/>
              </w:rPr>
              <w:t xml:space="preserve">1. Kto, powołując się na wpływy w polskim związku sportowym lub podmiocie działającym na podstawie umowy zawartej z tym związkiem, lub podmiocie działającym z jego upoważnienia albo wywołując przekonanie innej osoby o istnieniu takich wpływów, lub utwierdzając ją w przekonaniu o istnieniu takich wpływów, podejmuje się pośrednictwa w ustaleniu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13"/>
              <w:jc w:val="center"/>
            </w:pPr>
            <w:r>
              <w:rPr>
                <w:rFonts w:ascii="Arial" w:eastAsia="Arial" w:hAnsi="Arial" w:cs="Arial"/>
              </w:rPr>
              <w:t xml:space="preserve">III.A pkt 2 </w:t>
            </w:r>
          </w:p>
        </w:tc>
      </w:tr>
    </w:tbl>
    <w:p w:rsidR="00025B8E" w:rsidRDefault="00025B8E">
      <w:pPr>
        <w:spacing w:after="0"/>
        <w:ind w:left="-1406" w:right="8"/>
      </w:pPr>
    </w:p>
    <w:tbl>
      <w:tblPr>
        <w:tblStyle w:val="TableGrid"/>
        <w:tblW w:w="13994" w:type="dxa"/>
        <w:tblInd w:w="17" w:type="dxa"/>
        <w:tblCellMar>
          <w:top w:w="5" w:type="dxa"/>
          <w:left w:w="108" w:type="dxa"/>
          <w:right w:w="53" w:type="dxa"/>
        </w:tblCellMar>
        <w:tblLook w:val="04A0" w:firstRow="1" w:lastRow="0" w:firstColumn="1" w:lastColumn="0" w:noHBand="0" w:noVBand="1"/>
      </w:tblPr>
      <w:tblGrid>
        <w:gridCol w:w="2971"/>
        <w:gridCol w:w="6359"/>
        <w:gridCol w:w="4664"/>
      </w:tblGrid>
      <w:tr w:rsidR="00025B8E">
        <w:trPr>
          <w:trHeight w:val="2821"/>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rPr>
              <w:t xml:space="preserve">ust. 1) oraz przestępstwo przekupstwa za płatną protekcję w sporcie (art. 48 ust. 2)]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7" w:line="258" w:lineRule="auto"/>
              <w:ind w:right="17"/>
            </w:pPr>
            <w:r>
              <w:rPr>
                <w:rFonts w:ascii="Arial" w:eastAsia="Arial" w:hAnsi="Arial" w:cs="Arial"/>
                <w:sz w:val="18"/>
              </w:rPr>
              <w:t xml:space="preserve">określonego wyniku lub przebiegu zawodów sportowych w zamian za korzyść majątkową lub osobistą albo jej obietnicę, podlega karze pozbawienia wolności od 6 miesięcy do lat 8. </w:t>
            </w:r>
          </w:p>
          <w:p w:rsidR="00025B8E" w:rsidRDefault="00C13F2C">
            <w:pPr>
              <w:numPr>
                <w:ilvl w:val="0"/>
                <w:numId w:val="32"/>
              </w:numPr>
              <w:spacing w:after="20" w:line="252" w:lineRule="auto"/>
              <w:ind w:right="16" w:firstLine="481"/>
            </w:pPr>
            <w:r>
              <w:rPr>
                <w:rFonts w:ascii="Arial" w:eastAsia="Arial" w:hAnsi="Arial" w:cs="Arial"/>
                <w:sz w:val="18"/>
              </w:rPr>
              <w:t xml:space="preserve">Tej samej karze podlega, kto udziela albo obiecuje udzielić korzyści majątkowej lub osobistej w zamian za pośrednictwo w ustaleniu określonego wyniku lub przebiegu zawodów sportowych polegające na bezprawnym wywarciu wpływu na zachowanie osoby pełniącej funkcję w polskim związku sportowym lub podmiocie działającym na podstawie umowy zawartej z tym związkiem, lub podmiocie działającym z jego upoważnienia w związku z pełnieniem tej funkcji. </w:t>
            </w:r>
          </w:p>
          <w:p w:rsidR="00025B8E" w:rsidRDefault="00C13F2C">
            <w:pPr>
              <w:numPr>
                <w:ilvl w:val="0"/>
                <w:numId w:val="32"/>
              </w:numPr>
              <w:ind w:right="16" w:firstLine="481"/>
            </w:pPr>
            <w:r>
              <w:rPr>
                <w:rFonts w:ascii="Arial" w:eastAsia="Arial" w:hAnsi="Arial" w:cs="Arial"/>
                <w:sz w:val="18"/>
              </w:rPr>
              <w:t xml:space="preserve">W wypadku mniejszej wagi, sprawca czynu określonego w ust. 1 lub 2 podlega grzywnie, karze ograniczenia wolności albo pozbawienia wolności do lat 2.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r w:rsidR="00025B8E">
        <w:trPr>
          <w:trHeight w:val="2081"/>
        </w:trPr>
        <w:tc>
          <w:tcPr>
            <w:tcW w:w="2972" w:type="dxa"/>
            <w:tcBorders>
              <w:top w:val="single" w:sz="4" w:space="0" w:color="000000"/>
              <w:left w:val="single" w:sz="4" w:space="0" w:color="000000"/>
              <w:bottom w:val="single" w:sz="4" w:space="0" w:color="000000"/>
              <w:right w:val="single" w:sz="4" w:space="0" w:color="000000"/>
            </w:tcBorders>
            <w:vAlign w:val="center"/>
          </w:tcPr>
          <w:p w:rsidR="00025B8E" w:rsidRDefault="00C13F2C">
            <w:pPr>
              <w:spacing w:after="122" w:line="238" w:lineRule="auto"/>
            </w:pPr>
            <w:r>
              <w:rPr>
                <w:rFonts w:ascii="Arial" w:eastAsia="Arial" w:hAnsi="Arial" w:cs="Arial"/>
              </w:rPr>
              <w:lastRenderedPageBreak/>
              <w:t xml:space="preserve">art. 115 § 20 Kodeksu karnego </w:t>
            </w:r>
          </w:p>
          <w:p w:rsidR="00025B8E" w:rsidRDefault="00C13F2C">
            <w:r>
              <w:rPr>
                <w:rFonts w:ascii="Arial" w:eastAsia="Arial" w:hAnsi="Arial" w:cs="Arial"/>
              </w:rPr>
              <w:t xml:space="preserve">[przestępstwo o charakterze terrorystycznym]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after="15" w:line="258" w:lineRule="auto"/>
            </w:pPr>
            <w:r>
              <w:rPr>
                <w:rFonts w:ascii="Arial" w:eastAsia="Arial" w:hAnsi="Arial" w:cs="Arial"/>
                <w:b/>
                <w:sz w:val="18"/>
              </w:rPr>
              <w:t>Art. 115.</w:t>
            </w:r>
            <w:r>
              <w:rPr>
                <w:rFonts w:ascii="Arial" w:eastAsia="Arial" w:hAnsi="Arial" w:cs="Arial"/>
                <w:sz w:val="18"/>
              </w:rPr>
              <w:t xml:space="preserve"> § 20. Przestępstwem o charakterze terrorystycznym jest czyn zabroniony zagrożony karą pozbawienia wolności, której górna granica wynosi co najmniej 5 lat, popełniony w celu: </w:t>
            </w:r>
          </w:p>
          <w:p w:rsidR="00025B8E" w:rsidRDefault="00C13F2C">
            <w:pPr>
              <w:numPr>
                <w:ilvl w:val="0"/>
                <w:numId w:val="33"/>
              </w:numPr>
              <w:ind w:left="920" w:hanging="211"/>
            </w:pPr>
            <w:r>
              <w:rPr>
                <w:rFonts w:ascii="Arial" w:eastAsia="Arial" w:hAnsi="Arial" w:cs="Arial"/>
                <w:sz w:val="18"/>
              </w:rPr>
              <w:t xml:space="preserve">poważnego zastraszenia wielu osób, </w:t>
            </w:r>
          </w:p>
          <w:p w:rsidR="00025B8E" w:rsidRDefault="00C13F2C">
            <w:pPr>
              <w:numPr>
                <w:ilvl w:val="0"/>
                <w:numId w:val="33"/>
              </w:numPr>
              <w:ind w:left="920" w:hanging="211"/>
            </w:pPr>
            <w:r>
              <w:rPr>
                <w:rFonts w:ascii="Arial" w:eastAsia="Arial" w:hAnsi="Arial" w:cs="Arial"/>
                <w:sz w:val="18"/>
              </w:rPr>
              <w:t xml:space="preserve">zmuszenia organu władzy publicznej Rzeczypospolitej Polskiej </w:t>
            </w:r>
          </w:p>
          <w:p w:rsidR="00025B8E" w:rsidRDefault="00C13F2C">
            <w:pPr>
              <w:spacing w:line="276" w:lineRule="auto"/>
              <w:ind w:right="27"/>
            </w:pPr>
            <w:r>
              <w:rPr>
                <w:rFonts w:ascii="Arial" w:eastAsia="Arial" w:hAnsi="Arial" w:cs="Arial"/>
                <w:sz w:val="18"/>
              </w:rPr>
              <w:t xml:space="preserve">lub innego państwa albo organu organizacji międzynarodowej do podjęcia lub zaniechania określonych czynności, </w:t>
            </w:r>
          </w:p>
          <w:p w:rsidR="00025B8E" w:rsidRDefault="00C13F2C">
            <w:pPr>
              <w:numPr>
                <w:ilvl w:val="0"/>
                <w:numId w:val="33"/>
              </w:numPr>
              <w:ind w:left="920" w:hanging="211"/>
            </w:pPr>
            <w:r>
              <w:rPr>
                <w:rFonts w:ascii="Arial" w:eastAsia="Arial" w:hAnsi="Arial" w:cs="Arial"/>
                <w:sz w:val="18"/>
              </w:rPr>
              <w:t xml:space="preserve">wywołania poważnych zakłóceń w ustroju lub gospodarce </w:t>
            </w:r>
          </w:p>
          <w:p w:rsidR="00025B8E" w:rsidRDefault="00C13F2C">
            <w:pPr>
              <w:ind w:right="19"/>
            </w:pPr>
            <w:r>
              <w:rPr>
                <w:rFonts w:ascii="Arial" w:eastAsia="Arial" w:hAnsi="Arial" w:cs="Arial"/>
                <w:sz w:val="18"/>
              </w:rPr>
              <w:t xml:space="preserve">Rzeczypospolitej Polskiej, innego państwa lub organizacji międzynarodowej – a także groźba popełnienia takiego czynu.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53"/>
              <w:jc w:val="center"/>
            </w:pPr>
            <w:r>
              <w:rPr>
                <w:rFonts w:ascii="Arial" w:eastAsia="Arial" w:hAnsi="Arial" w:cs="Arial"/>
              </w:rPr>
              <w:t xml:space="preserve">III.A pkt 4 </w:t>
            </w:r>
          </w:p>
        </w:tc>
      </w:tr>
      <w:tr w:rsidR="00025B8E">
        <w:trPr>
          <w:trHeight w:val="958"/>
        </w:trPr>
        <w:tc>
          <w:tcPr>
            <w:tcW w:w="2972" w:type="dxa"/>
            <w:tcBorders>
              <w:top w:val="single" w:sz="4" w:space="0" w:color="000000"/>
              <w:left w:val="single" w:sz="4" w:space="0" w:color="000000"/>
              <w:bottom w:val="single" w:sz="4" w:space="0" w:color="000000"/>
              <w:right w:val="single" w:sz="4" w:space="0" w:color="000000"/>
            </w:tcBorders>
            <w:vAlign w:val="center"/>
          </w:tcPr>
          <w:p w:rsidR="00025B8E" w:rsidRDefault="00C13F2C">
            <w:r>
              <w:rPr>
                <w:rFonts w:ascii="Arial" w:eastAsia="Arial" w:hAnsi="Arial" w:cs="Arial"/>
              </w:rPr>
              <w:t xml:space="preserve">przestępstwa skarbowe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r>
              <w:rPr>
                <w:rFonts w:ascii="Arial" w:eastAsia="Arial" w:hAnsi="Arial" w:cs="Arial"/>
                <w:sz w:val="18"/>
              </w:rPr>
              <w:t xml:space="preserve">[Zgodnie z art. 53 § 2 ustawy z dnia 10 września 1999 r. – Kodeks karny skarbowy (Dz. U. z 2013 r. poz. 186 ze zm.) przestępstwo skarbowe to czyn zabroniony przez ten kodeks pod groźbą kary grzywny w stawkach dziennych, kary ograniczenia wolności lub kary pozbawienia wolności]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C13F2C">
            <w:pPr>
              <w:ind w:right="53"/>
              <w:jc w:val="center"/>
            </w:pPr>
            <w:r>
              <w:rPr>
                <w:rFonts w:ascii="Arial" w:eastAsia="Arial" w:hAnsi="Arial" w:cs="Arial"/>
              </w:rPr>
              <w:t xml:space="preserve">III.A pkt 3 </w:t>
            </w:r>
          </w:p>
        </w:tc>
      </w:tr>
      <w:tr w:rsidR="00025B8E">
        <w:trPr>
          <w:trHeight w:val="3116"/>
        </w:trPr>
        <w:tc>
          <w:tcPr>
            <w:tcW w:w="2972" w:type="dxa"/>
            <w:tcBorders>
              <w:top w:val="single" w:sz="4" w:space="0" w:color="000000"/>
              <w:left w:val="single" w:sz="4" w:space="0" w:color="000000"/>
              <w:bottom w:val="single" w:sz="4" w:space="0" w:color="000000"/>
              <w:right w:val="single" w:sz="4" w:space="0" w:color="000000"/>
            </w:tcBorders>
          </w:tcPr>
          <w:p w:rsidR="00025B8E" w:rsidRDefault="00C13F2C">
            <w:pPr>
              <w:ind w:right="33"/>
            </w:pPr>
            <w:r>
              <w:rPr>
                <w:rFonts w:ascii="Arial" w:eastAsia="Arial" w:hAnsi="Arial" w:cs="Arial"/>
              </w:rPr>
              <w:t xml:space="preserve">art. 9 i 10 ustawy o skutkach powierzania wykonywania pracy cudzoziemcom przebywającym wbrew przepisom na terytorium Rzeczypospolitej Polskiej </w:t>
            </w:r>
          </w:p>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spacing w:line="254" w:lineRule="auto"/>
            </w:pPr>
            <w:r>
              <w:rPr>
                <w:rFonts w:ascii="Arial" w:eastAsia="Arial" w:hAnsi="Arial" w:cs="Arial"/>
                <w:b/>
                <w:sz w:val="18"/>
              </w:rPr>
              <w:t xml:space="preserve">Art. 9. </w:t>
            </w:r>
            <w:r>
              <w:rPr>
                <w:rFonts w:ascii="Arial" w:eastAsia="Arial" w:hAnsi="Arial" w:cs="Arial"/>
                <w:sz w:val="18"/>
              </w:rPr>
              <w:t xml:space="preserve">1. Kto powierza, w tym samym czasie, wykonywanie pracy wielu cudzoziemcom przebywającym bez ważnego dokumentu uprawniającego do pobytu na terytorium Rzeczypospolitej Polskiej, podlega grzywnie albo karze ograniczenia wolności. </w:t>
            </w:r>
          </w:p>
          <w:p w:rsidR="00025B8E" w:rsidRDefault="00C13F2C">
            <w:pPr>
              <w:numPr>
                <w:ilvl w:val="0"/>
                <w:numId w:val="34"/>
              </w:numPr>
              <w:ind w:hanging="201"/>
            </w:pPr>
            <w:r>
              <w:rPr>
                <w:rFonts w:ascii="Arial" w:eastAsia="Arial" w:hAnsi="Arial" w:cs="Arial"/>
                <w:sz w:val="18"/>
              </w:rPr>
              <w:t xml:space="preserve">Tej samej karze podlega, kto powierza wykonywanie pracy </w:t>
            </w:r>
          </w:p>
          <w:p w:rsidR="00025B8E" w:rsidRDefault="00C13F2C">
            <w:pPr>
              <w:spacing w:line="273" w:lineRule="auto"/>
            </w:pPr>
            <w:r>
              <w:rPr>
                <w:rFonts w:ascii="Arial" w:eastAsia="Arial" w:hAnsi="Arial" w:cs="Arial"/>
                <w:sz w:val="18"/>
              </w:rPr>
              <w:t xml:space="preserve">małoletniemu cudzoziemcowi przebywającemu bez ważnego dokumentu uprawniającego do pobytu na terytorium Rzeczypospolitej Polskiej. </w:t>
            </w:r>
          </w:p>
          <w:p w:rsidR="00025B8E" w:rsidRDefault="00C13F2C">
            <w:pPr>
              <w:numPr>
                <w:ilvl w:val="0"/>
                <w:numId w:val="34"/>
              </w:numPr>
              <w:ind w:hanging="201"/>
            </w:pPr>
            <w:r>
              <w:rPr>
                <w:rFonts w:ascii="Arial" w:eastAsia="Arial" w:hAnsi="Arial" w:cs="Arial"/>
                <w:sz w:val="18"/>
              </w:rPr>
              <w:t xml:space="preserve">Karze określonej w ust. 1 podlega, kto w związku prowadzoną </w:t>
            </w:r>
          </w:p>
          <w:p w:rsidR="00025B8E" w:rsidRDefault="00C13F2C">
            <w:pPr>
              <w:spacing w:line="239" w:lineRule="auto"/>
            </w:pPr>
            <w:r>
              <w:rPr>
                <w:rFonts w:ascii="Arial" w:eastAsia="Arial" w:hAnsi="Arial" w:cs="Arial"/>
                <w:sz w:val="18"/>
              </w:rPr>
              <w:t xml:space="preserve">działalnością gospodarczą uporczywie powierza wykonywanie pracy cudzoziemcowi przebywającemu bez ważnego dokumentu uprawniającego do pobytu na terytorium Rzeczypospolitej Polskiej. </w:t>
            </w:r>
          </w:p>
          <w:p w:rsidR="00025B8E" w:rsidRDefault="00C13F2C">
            <w:r>
              <w:rPr>
                <w:rFonts w:ascii="Arial" w:eastAsia="Arial" w:hAnsi="Arial" w:cs="Arial"/>
                <w:b/>
                <w:sz w:val="18"/>
              </w:rPr>
              <w:t>Art. 10.</w:t>
            </w:r>
            <w:r>
              <w:rPr>
                <w:rFonts w:ascii="Arial" w:eastAsia="Arial" w:hAnsi="Arial" w:cs="Arial"/>
                <w:sz w:val="18"/>
              </w:rPr>
              <w:t xml:space="preserve"> 1. Kto powierza wykonywanie pracy cudzoziemcowi </w:t>
            </w:r>
          </w:p>
          <w:p w:rsidR="00025B8E" w:rsidRDefault="00C13F2C">
            <w:r>
              <w:rPr>
                <w:rFonts w:ascii="Arial" w:eastAsia="Arial" w:hAnsi="Arial" w:cs="Arial"/>
                <w:sz w:val="18"/>
              </w:rPr>
              <w:t xml:space="preserve">przebywającemu bez ważnego dokumentu uprawniającego do pobytu na terytorium Rzeczypospolitej Polskiej w warunkach szczególnego wykorzystania, podlega karze pozbawienia wolności do lat 3. </w:t>
            </w:r>
          </w:p>
        </w:tc>
        <w:tc>
          <w:tcPr>
            <w:tcW w:w="4664" w:type="dxa"/>
            <w:tcBorders>
              <w:top w:val="single" w:sz="4" w:space="0" w:color="000000"/>
              <w:left w:val="single" w:sz="4" w:space="0" w:color="000000"/>
              <w:bottom w:val="single" w:sz="4" w:space="0" w:color="000000"/>
              <w:right w:val="single" w:sz="4" w:space="0" w:color="000000"/>
            </w:tcBorders>
            <w:vAlign w:val="center"/>
          </w:tcPr>
          <w:p w:rsidR="00025B8E" w:rsidRDefault="00C13F2C">
            <w:pPr>
              <w:jc w:val="center"/>
            </w:pPr>
            <w:r>
              <w:rPr>
                <w:rFonts w:ascii="Arial" w:eastAsia="Arial" w:hAnsi="Arial" w:cs="Arial"/>
              </w:rPr>
              <w:t>III.C rubryka dotycząca prawa środowiska, prawa socjalnego i</w:t>
            </w:r>
            <w:r>
              <w:rPr>
                <w:rFonts w:ascii="Arial" w:eastAsia="Arial" w:hAnsi="Arial" w:cs="Arial"/>
                <w:b/>
              </w:rPr>
              <w:t xml:space="preserve"> prawa pracy</w:t>
            </w:r>
            <w:r>
              <w:rPr>
                <w:rFonts w:ascii="Arial" w:eastAsia="Arial" w:hAnsi="Arial" w:cs="Arial"/>
              </w:rPr>
              <w:t xml:space="preserve"> </w:t>
            </w:r>
          </w:p>
        </w:tc>
      </w:tr>
      <w:tr w:rsidR="00025B8E">
        <w:trPr>
          <w:trHeight w:val="1044"/>
        </w:trPr>
        <w:tc>
          <w:tcPr>
            <w:tcW w:w="2972" w:type="dxa"/>
            <w:tcBorders>
              <w:top w:val="single" w:sz="4" w:space="0" w:color="000000"/>
              <w:left w:val="single" w:sz="4" w:space="0" w:color="000000"/>
              <w:bottom w:val="single" w:sz="4" w:space="0" w:color="000000"/>
              <w:right w:val="single" w:sz="4" w:space="0" w:color="000000"/>
            </w:tcBorders>
          </w:tcPr>
          <w:p w:rsidR="00025B8E" w:rsidRDefault="00025B8E"/>
        </w:tc>
        <w:tc>
          <w:tcPr>
            <w:tcW w:w="6359" w:type="dxa"/>
            <w:tcBorders>
              <w:top w:val="single" w:sz="4" w:space="0" w:color="000000"/>
              <w:left w:val="single" w:sz="4" w:space="0" w:color="000000"/>
              <w:bottom w:val="single" w:sz="4" w:space="0" w:color="000000"/>
              <w:right w:val="single" w:sz="4" w:space="0" w:color="000000"/>
            </w:tcBorders>
          </w:tcPr>
          <w:p w:rsidR="00025B8E" w:rsidRDefault="00C13F2C">
            <w:pPr>
              <w:ind w:left="709"/>
            </w:pPr>
            <w:r>
              <w:rPr>
                <w:rFonts w:ascii="Arial" w:eastAsia="Arial" w:hAnsi="Arial" w:cs="Arial"/>
                <w:sz w:val="18"/>
              </w:rPr>
              <w:t xml:space="preserve">2. Tej samej karze podlega, kto powierza wykonywanie pracy </w:t>
            </w:r>
          </w:p>
          <w:p w:rsidR="00025B8E" w:rsidRDefault="00C13F2C">
            <w:r>
              <w:rPr>
                <w:rFonts w:ascii="Arial" w:eastAsia="Arial" w:hAnsi="Arial" w:cs="Arial"/>
                <w:sz w:val="18"/>
              </w:rPr>
              <w:t xml:space="preserve">cudzoziemcowi przebywającemu bez ważnego dokumentu uprawniającego do pobytu na terytorium Rzeczypospolitej Polskiej, będącemu pokrzywdzonym przestępstwem określonym w art. 189a § 1 ustawy z dnia 6 czerwca 1997 r. – Kodeks karny (Dz. U. Nr 88, poz. 553, z późn. zm.3)). </w:t>
            </w:r>
          </w:p>
        </w:tc>
        <w:tc>
          <w:tcPr>
            <w:tcW w:w="4664" w:type="dxa"/>
            <w:tcBorders>
              <w:top w:val="single" w:sz="4" w:space="0" w:color="000000"/>
              <w:left w:val="single" w:sz="4" w:space="0" w:color="000000"/>
              <w:bottom w:val="single" w:sz="4" w:space="0" w:color="000000"/>
              <w:right w:val="single" w:sz="4" w:space="0" w:color="000000"/>
            </w:tcBorders>
          </w:tcPr>
          <w:p w:rsidR="00025B8E" w:rsidRDefault="00025B8E"/>
        </w:tc>
      </w:tr>
    </w:tbl>
    <w:p w:rsidR="00025B8E" w:rsidRDefault="00C13F2C">
      <w:pPr>
        <w:spacing w:after="0"/>
        <w:ind w:left="12"/>
        <w:jc w:val="both"/>
      </w:pPr>
      <w:r>
        <w:rPr>
          <w:rFonts w:ascii="Arial" w:eastAsia="Arial" w:hAnsi="Arial" w:cs="Arial"/>
        </w:rPr>
        <w:t xml:space="preserve"> </w:t>
      </w:r>
    </w:p>
    <w:sectPr w:rsidR="00025B8E">
      <w:footerReference w:type="even" r:id="rId96"/>
      <w:footerReference w:type="default" r:id="rId97"/>
      <w:footerReference w:type="first" r:id="rId98"/>
      <w:pgSz w:w="16838" w:h="11906" w:orient="landscape"/>
      <w:pgMar w:top="1424" w:right="1413" w:bottom="1416" w:left="1406" w:header="708"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6297" w:rsidRDefault="00506297">
      <w:pPr>
        <w:spacing w:after="0" w:line="240" w:lineRule="auto"/>
      </w:pPr>
      <w:r>
        <w:separator/>
      </w:r>
    </w:p>
  </w:endnote>
  <w:endnote w:type="continuationSeparator" w:id="0">
    <w:p w:rsidR="00506297" w:rsidRDefault="005062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right="5"/>
      <w:jc w:val="center"/>
    </w:pPr>
    <w:r>
      <w:fldChar w:fldCharType="begin"/>
    </w:r>
    <w:r>
      <w:instrText xml:space="preserve"> PAGE   \* MERGEFORMAT </w:instrText>
    </w:r>
    <w:r>
      <w:fldChar w:fldCharType="separate"/>
    </w:r>
    <w:r>
      <w:t>1</w:t>
    </w:r>
    <w:r>
      <w:fldChar w:fldCharType="end"/>
    </w:r>
    <w:r>
      <w:t xml:space="preserve"> </w:t>
    </w:r>
  </w:p>
  <w:p w:rsidR="00025B8E" w:rsidRDefault="00C13F2C">
    <w:pPr>
      <w:spacing w:after="0"/>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right="5"/>
      <w:jc w:val="center"/>
    </w:pPr>
    <w:r>
      <w:fldChar w:fldCharType="begin"/>
    </w:r>
    <w:r>
      <w:instrText xml:space="preserve"> PAGE   \* MERGEFORMAT </w:instrText>
    </w:r>
    <w:r>
      <w:fldChar w:fldCharType="separate"/>
    </w:r>
    <w:r w:rsidR="006C7E2A">
      <w:rPr>
        <w:noProof/>
      </w:rPr>
      <w:t>4</w:t>
    </w:r>
    <w:r>
      <w:fldChar w:fldCharType="end"/>
    </w:r>
    <w:r>
      <w:t xml:space="preserve"> </w:t>
    </w:r>
  </w:p>
  <w:p w:rsidR="00025B8E" w:rsidRDefault="00C13F2C">
    <w:pPr>
      <w:spacing w:after="0"/>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right="5"/>
      <w:jc w:val="center"/>
    </w:pPr>
    <w:r>
      <w:fldChar w:fldCharType="begin"/>
    </w:r>
    <w:r>
      <w:instrText xml:space="preserve"> PAGE   \* MERGEFORMAT </w:instrText>
    </w:r>
    <w:r>
      <w:fldChar w:fldCharType="separate"/>
    </w:r>
    <w:r>
      <w:t>1</w:t>
    </w:r>
    <w:r>
      <w:fldChar w:fldCharType="end"/>
    </w:r>
    <w:r>
      <w:t xml:space="preserve"> </w:t>
    </w:r>
  </w:p>
  <w:p w:rsidR="00025B8E" w:rsidRDefault="00C13F2C">
    <w:pPr>
      <w:spacing w:after="0"/>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left="11"/>
      <w:jc w:val="center"/>
    </w:pPr>
    <w:r>
      <w:fldChar w:fldCharType="begin"/>
    </w:r>
    <w:r>
      <w:instrText xml:space="preserve"> PAGE   \* MERGEFORMAT </w:instrText>
    </w:r>
    <w:r>
      <w:fldChar w:fldCharType="separate"/>
    </w:r>
    <w:r>
      <w:t>5</w:t>
    </w:r>
    <w:r>
      <w:fldChar w:fldCharType="end"/>
    </w:r>
    <w:r>
      <w:t xml:space="preserve"> </w:t>
    </w:r>
  </w:p>
  <w:p w:rsidR="00025B8E" w:rsidRDefault="00C13F2C">
    <w:pPr>
      <w:spacing w:after="0"/>
      <w:ind w:left="12"/>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left="11"/>
      <w:jc w:val="center"/>
    </w:pPr>
    <w:r>
      <w:fldChar w:fldCharType="begin"/>
    </w:r>
    <w:r>
      <w:instrText xml:space="preserve"> PAGE   \* MERGEFORMAT </w:instrText>
    </w:r>
    <w:r>
      <w:fldChar w:fldCharType="separate"/>
    </w:r>
    <w:r w:rsidR="006C7E2A">
      <w:rPr>
        <w:noProof/>
      </w:rPr>
      <w:t>22</w:t>
    </w:r>
    <w:r>
      <w:fldChar w:fldCharType="end"/>
    </w:r>
    <w:r>
      <w:t xml:space="preserve"> </w:t>
    </w:r>
  </w:p>
  <w:p w:rsidR="00025B8E" w:rsidRDefault="00C13F2C">
    <w:pPr>
      <w:spacing w:after="0"/>
      <w:ind w:left="12"/>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B8E" w:rsidRDefault="00C13F2C">
    <w:pPr>
      <w:spacing w:after="0"/>
      <w:ind w:left="11"/>
      <w:jc w:val="center"/>
    </w:pPr>
    <w:r>
      <w:fldChar w:fldCharType="begin"/>
    </w:r>
    <w:r>
      <w:instrText xml:space="preserve"> PAGE   \* MERGEFORMAT </w:instrText>
    </w:r>
    <w:r>
      <w:fldChar w:fldCharType="separate"/>
    </w:r>
    <w:r>
      <w:t>5</w:t>
    </w:r>
    <w:r>
      <w:fldChar w:fldCharType="end"/>
    </w:r>
    <w:r>
      <w:t xml:space="preserve"> </w:t>
    </w:r>
  </w:p>
  <w:p w:rsidR="00025B8E" w:rsidRDefault="00C13F2C">
    <w:pPr>
      <w:spacing w:after="0"/>
      <w:ind w:left="12"/>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6297" w:rsidRDefault="00506297">
      <w:pPr>
        <w:spacing w:after="0" w:line="250" w:lineRule="auto"/>
        <w:ind w:left="12"/>
        <w:jc w:val="both"/>
      </w:pPr>
      <w:r>
        <w:separator/>
      </w:r>
    </w:p>
  </w:footnote>
  <w:footnote w:type="continuationSeparator" w:id="0">
    <w:p w:rsidR="00506297" w:rsidRDefault="00506297">
      <w:pPr>
        <w:spacing w:after="0" w:line="250" w:lineRule="auto"/>
        <w:ind w:left="12"/>
        <w:jc w:val="both"/>
      </w:pPr>
      <w:r>
        <w:continuationSeparator/>
      </w:r>
    </w:p>
  </w:footnote>
  <w:footnote w:id="1">
    <w:p w:rsidR="00025B8E" w:rsidRDefault="00C13F2C">
      <w:pPr>
        <w:pStyle w:val="footnotedescription"/>
        <w:spacing w:line="250" w:lineRule="auto"/>
        <w:ind w:left="12"/>
      </w:pPr>
      <w:r>
        <w:rPr>
          <w:rStyle w:val="footnotemark"/>
        </w:rPr>
        <w:footnoteRef/>
      </w:r>
      <w:r>
        <w:t xml:space="preserve"> Służby Komisji udostępnią instytucjom zamawiającym, podmiotom zamawiającym, wykonawcom, dostawcom usług elektronicznych i innym zainteresowanym stronom bezpłatny elektroniczny serwis poświęcony jednolitemu europejskiemu dokumentowi zamówienia. </w:t>
      </w:r>
    </w:p>
  </w:footnote>
  <w:footnote w:id="2">
    <w:p w:rsidR="00025B8E" w:rsidRDefault="00C13F2C">
      <w:pPr>
        <w:pStyle w:val="footnotedescription"/>
        <w:spacing w:line="240" w:lineRule="auto"/>
        <w:ind w:left="12" w:right="1"/>
      </w:pPr>
      <w:r>
        <w:rPr>
          <w:rStyle w:val="footnotemark"/>
        </w:rPr>
        <w:footnoteRef/>
      </w:r>
      <w:r>
        <w:t xml:space="preserve"> W przypadku </w:t>
      </w:r>
      <w:r>
        <w:rPr>
          <w:b/>
        </w:rPr>
        <w:t>instytucji zamawiających</w:t>
      </w:r>
      <w:r>
        <w:t xml:space="preserve">: </w:t>
      </w:r>
      <w:r>
        <w:rPr>
          <w:b/>
        </w:rPr>
        <w:t>wstępne ogłoszenie informacyjne</w:t>
      </w:r>
      <w:r>
        <w:t xml:space="preserve"> wykorzystywane jako zaproszenie do ubiegania się o zamówienie albo </w:t>
      </w:r>
      <w:r>
        <w:rPr>
          <w:b/>
        </w:rPr>
        <w:t>ogłoszenie o zamówieniu</w:t>
      </w:r>
      <w:r>
        <w:t xml:space="preserve">. W przypadku </w:t>
      </w:r>
      <w:r>
        <w:rPr>
          <w:b/>
        </w:rPr>
        <w:t>podmiotów zamawiających</w:t>
      </w:r>
      <w:r>
        <w:t xml:space="preserve">: </w:t>
      </w:r>
      <w:r>
        <w:rPr>
          <w:b/>
        </w:rPr>
        <w:t>okresowe ogłoszenie informacyjne</w:t>
      </w:r>
      <w:r>
        <w:t xml:space="preserve"> wykorzystywane jako zaproszenie do ubiegania się o zamówienie, </w:t>
      </w:r>
      <w:r>
        <w:rPr>
          <w:b/>
        </w:rPr>
        <w:t>ogłoszenie o zamówieniu</w:t>
      </w:r>
      <w:r>
        <w:t xml:space="preserve"> lub </w:t>
      </w:r>
      <w:r>
        <w:rPr>
          <w:b/>
        </w:rPr>
        <w:t>ogłoszenie o istnieniu systemu kwalifikowania</w:t>
      </w:r>
      <w:r>
        <w:t xml:space="preserve">. </w:t>
      </w:r>
    </w:p>
  </w:footnote>
  <w:footnote w:id="3">
    <w:p w:rsidR="00025B8E" w:rsidRDefault="00C13F2C">
      <w:pPr>
        <w:pStyle w:val="footnotedescription"/>
        <w:tabs>
          <w:tab w:val="center" w:pos="6362"/>
        </w:tabs>
        <w:jc w:val="left"/>
      </w:pPr>
      <w:r>
        <w:rPr>
          <w:rStyle w:val="footnotemark"/>
        </w:rPr>
        <w:footnoteRef/>
      </w:r>
      <w:r>
        <w:t xml:space="preserve"> Informacje te należy skopiować z sekcji I pkt I.1 stosownego ogłoszenia</w:t>
      </w:r>
      <w:r>
        <w:rPr>
          <w:i/>
        </w:rPr>
        <w:t>.</w:t>
      </w:r>
      <w:r>
        <w:t xml:space="preserve"> W przypadku wspólnego zamówienia proszę podać nazwy wszystkich uczestniczących zamawiających. </w:t>
      </w:r>
    </w:p>
  </w:footnote>
  <w:footnote w:id="4">
    <w:p w:rsidR="00025B8E" w:rsidRDefault="00C13F2C">
      <w:pPr>
        <w:pStyle w:val="footnotedescription"/>
        <w:tabs>
          <w:tab w:val="center" w:pos="2173"/>
        </w:tabs>
        <w:jc w:val="left"/>
      </w:pPr>
      <w:r>
        <w:rPr>
          <w:rStyle w:val="footnotemark"/>
        </w:rPr>
        <w:footnoteRef/>
      </w:r>
      <w:r>
        <w:t xml:space="preserve"> Zob. pkt II.1.1 i II.1.3 stosownego ogłoszenia. </w:t>
      </w:r>
    </w:p>
  </w:footnote>
  <w:footnote w:id="5">
    <w:p w:rsidR="00025B8E" w:rsidRDefault="00C13F2C">
      <w:pPr>
        <w:pStyle w:val="footnotedescription"/>
        <w:tabs>
          <w:tab w:val="center" w:pos="1957"/>
        </w:tabs>
        <w:jc w:val="left"/>
      </w:pPr>
      <w:r>
        <w:rPr>
          <w:rStyle w:val="footnotemark"/>
        </w:rPr>
        <w:footnoteRef/>
      </w:r>
      <w:r>
        <w:t xml:space="preserve"> Zob. pkt II.1.1 stosownego ogłoszenia.</w:t>
      </w:r>
      <w:r>
        <w:rPr>
          <w:i/>
        </w:rPr>
        <w:t xml:space="preserve"> </w:t>
      </w:r>
    </w:p>
  </w:footnote>
  <w:footnote w:id="6">
    <w:p w:rsidR="00025B8E" w:rsidRDefault="00C13F2C">
      <w:pPr>
        <w:pStyle w:val="footnotedescription"/>
      </w:pPr>
      <w:r>
        <w:rPr>
          <w:rStyle w:val="footnotemark"/>
        </w:rPr>
        <w:footnoteRef/>
      </w:r>
      <w:r>
        <w:t xml:space="preserve"> Dyrektywa Parlamentu Europejskiego i Rady 2014/24/UE z dnia 26 lutego 2014 r. w sprawie zamówień publicznych, uchylająca dyrektywę 2004/18/WE (Dz. Urz. UE L 94 z 28.3.2014, str. 65)</w:t>
      </w:r>
      <w:r>
        <w:rPr>
          <w:sz w:val="20"/>
        </w:rPr>
        <w:t xml:space="preserve">  </w:t>
      </w:r>
    </w:p>
  </w:footnote>
  <w:footnote w:id="7">
    <w:p w:rsidR="00025B8E" w:rsidRDefault="00C13F2C">
      <w:pPr>
        <w:pStyle w:val="footnotedescription"/>
        <w:tabs>
          <w:tab w:val="center" w:pos="3219"/>
        </w:tabs>
        <w:jc w:val="left"/>
      </w:pPr>
      <w:r>
        <w:rPr>
          <w:rStyle w:val="footnotemark"/>
        </w:rPr>
        <w:footnoteRef/>
      </w:r>
      <w:r>
        <w:t xml:space="preserve"> Dane referencyjne i klasyfikacja, o ile istnieją, są określone na zaświadczeniu. </w:t>
      </w:r>
    </w:p>
  </w:footnote>
  <w:footnote w:id="8">
    <w:p w:rsidR="00025B8E" w:rsidRDefault="00C13F2C">
      <w:pPr>
        <w:pStyle w:val="footnotedescription"/>
        <w:tabs>
          <w:tab w:val="center" w:pos="3527"/>
        </w:tabs>
        <w:jc w:val="left"/>
      </w:pPr>
      <w:r>
        <w:rPr>
          <w:rStyle w:val="footnotemark"/>
        </w:rPr>
        <w:footnoteRef/>
      </w:r>
      <w:r>
        <w:t xml:space="preserve"> Zwłaszcza w ramach grupy, konsorcjum, spółki </w:t>
      </w:r>
      <w:r>
        <w:rPr>
          <w:i/>
        </w:rPr>
        <w:t>joint venture</w:t>
      </w:r>
      <w:r>
        <w:t xml:space="preserve"> lub podobnego podmiotu. </w:t>
      </w:r>
    </w:p>
  </w:footnote>
  <w:footnote w:id="9">
    <w:p w:rsidR="00025B8E" w:rsidRDefault="00C13F2C">
      <w:pPr>
        <w:pStyle w:val="footnotedescription"/>
        <w:tabs>
          <w:tab w:val="center" w:pos="6971"/>
        </w:tabs>
        <w:jc w:val="left"/>
      </w:pPr>
      <w:r>
        <w:rPr>
          <w:rStyle w:val="footnotemark"/>
        </w:rPr>
        <w:footnoteRef/>
      </w:r>
      <w:r>
        <w:t xml:space="preserve"> Zgodnie z definicją zawartą w art. 2 decyzji ramowej Rady 2008/841/WSiSW z dnia 24 października 2008 r. w sprawie zwalczania przestępczości zorganizowanej (Dz.U. L 300 z 11.11.2008, s. 42). </w:t>
      </w:r>
    </w:p>
  </w:footnote>
  <w:footnote w:id="10">
    <w:p w:rsidR="00025B8E" w:rsidRDefault="00C13F2C">
      <w:pPr>
        <w:pStyle w:val="footnotedescription"/>
        <w:spacing w:line="248" w:lineRule="auto"/>
        <w:ind w:left="12" w:right="4"/>
      </w:pPr>
      <w:r>
        <w:rPr>
          <w:rStyle w:val="footnotemark"/>
        </w:rPr>
        <w:footnoteRef/>
      </w:r>
      <w:r>
        <w:t xml:space="preserve"> Zgodnie z definicją zawartą w art. 3 Konwencji w sprawie zwalczania korupcji urzędników Wspólnot Europejskich i urzędników państw członkowskich Unii Europejskiej (Dz.U. C 195 z 25.6.1997, s. 1) i w art. 2 ust. 1 decyzji ramowej Rady 2003/568/WSiSW z dnia 22 lipca 2003 r. w sprawie zwalczania korupcji w sektorze prywatnym (Dz.U. L 192 z 31.7.2003, s. 54). Ta podstawa wykluczenia obejmuje również korupcję zdefiniowaną w prawie krajowym instytucji zamawiającej (podmiotu zamawiającego) lub wykonawcy. </w:t>
      </w:r>
    </w:p>
  </w:footnote>
  <w:footnote w:id="11">
    <w:p w:rsidR="00025B8E" w:rsidRDefault="00C13F2C">
      <w:pPr>
        <w:pStyle w:val="footnotedescription"/>
        <w:tabs>
          <w:tab w:val="center" w:pos="4972"/>
        </w:tabs>
        <w:jc w:val="left"/>
      </w:pPr>
      <w:r>
        <w:rPr>
          <w:rStyle w:val="footnotemark"/>
        </w:rPr>
        <w:footnoteRef/>
      </w:r>
      <w:r>
        <w:t xml:space="preserve"> W rozumieniu art. 1 Konwencji w sprawie ochrony interesów finansowych Wspólnot Europejskich (Dz.U. C 316 z 27.11.1995, s. 48). </w:t>
      </w:r>
    </w:p>
  </w:footnote>
  <w:footnote w:id="12">
    <w:p w:rsidR="00025B8E" w:rsidRDefault="00C13F2C">
      <w:pPr>
        <w:pStyle w:val="footnotedescription"/>
        <w:spacing w:line="254" w:lineRule="auto"/>
        <w:ind w:left="12"/>
      </w:pPr>
      <w:r>
        <w:rPr>
          <w:rStyle w:val="footnotemark"/>
        </w:rPr>
        <w:footnoteRef/>
      </w:r>
      <w:r>
        <w:t xml:space="preserve"> Zgodnie z definicją zawartą w art. 1 i 3 decyzji ramowej Rady z dnia 13 czerwca 2002 r. w sprawie zwalczania terroryzmu (Dz.U. L 164 z 22.6.2002, s. 3). Ta podstawa wykluczenia obejmuje również podżeganie do popełnienia przestępstwa, pomocnictwo, współsprawstwo lub usiłowanie popełnienia przestępstwa, o których mowa w art. 4 tejże decyzji ramowej. </w:t>
      </w:r>
    </w:p>
  </w:footnote>
  <w:footnote w:id="13">
    <w:p w:rsidR="00025B8E" w:rsidRDefault="00C13F2C">
      <w:pPr>
        <w:pStyle w:val="footnotedescription"/>
        <w:spacing w:line="253" w:lineRule="auto"/>
        <w:ind w:left="12"/>
      </w:pPr>
      <w:r>
        <w:rPr>
          <w:rStyle w:val="footnotemark"/>
        </w:rPr>
        <w:footnoteRef/>
      </w:r>
      <w:r>
        <w:t xml:space="preserve"> Zgodnie z definicją zawartą w art. 1 dyrektywy 2005/60/WE Parlamentu Europejskiego i Rady z dnia 26 października 2005 r. w sprawie przeciwdziałania korzystaniu z systemu finansowego w celu prania pieniędzy oraz finansowania terroryzmu</w:t>
      </w:r>
      <w:r>
        <w:rPr>
          <w:b/>
          <w:i/>
        </w:rPr>
        <w:t xml:space="preserve"> </w:t>
      </w:r>
      <w:r>
        <w:t xml:space="preserve">(Dz.U. L 309 z 25.11.2005, s. 15). </w:t>
      </w:r>
    </w:p>
  </w:footnote>
  <w:footnote w:id="14">
    <w:p w:rsidR="00025B8E" w:rsidRDefault="00C13F2C">
      <w:pPr>
        <w:pStyle w:val="footnotedescription"/>
        <w:spacing w:line="254" w:lineRule="auto"/>
        <w:ind w:left="12"/>
      </w:pPr>
      <w:r>
        <w:rPr>
          <w:rStyle w:val="footnotemark"/>
        </w:rPr>
        <w:footnoteRef/>
      </w:r>
      <w:r>
        <w:t xml:space="preserve"> Zgodnie z definicją zawartą w art. 2 dyrektywy Parlamentu Europejskiego i Rady 2011/36/UE z dnia 5 kwietnia 2011 r. w sprawie zapobiegania handlowi ludźmi i zwalczania tego procederu oraz ochrony ofiar, zastępującej decyzję ramową Rady 2002/629/WSiSW (Dz.U. L 101 z 15.4.2011, s. 1). </w:t>
      </w:r>
    </w:p>
  </w:footnote>
  <w:footnote w:id="15">
    <w:p w:rsidR="00025B8E" w:rsidRDefault="00C13F2C">
      <w:pPr>
        <w:pStyle w:val="footnotedescription"/>
        <w:spacing w:line="264" w:lineRule="auto"/>
        <w:ind w:right="10071"/>
        <w:jc w:val="left"/>
      </w:pPr>
      <w:r>
        <w:rPr>
          <w:rStyle w:val="footnotemark"/>
        </w:rPr>
        <w:footnoteRef/>
      </w:r>
      <w:r>
        <w:t xml:space="preserve"> Proszę powtórzyć tyle razy, ile jest to konieczne. </w:t>
      </w:r>
      <w:r>
        <w:rPr>
          <w:rFonts w:ascii="Segoe UI Symbol" w:eastAsia="Segoe UI Symbol" w:hAnsi="Segoe UI Symbol" w:cs="Segoe UI Symbol"/>
          <w:sz w:val="13"/>
        </w:rPr>
        <w:t></w:t>
      </w:r>
    </w:p>
    <w:p w:rsidR="00025B8E" w:rsidRDefault="00C13F2C">
      <w:pPr>
        <w:pStyle w:val="footnotedescription"/>
        <w:spacing w:line="239" w:lineRule="auto"/>
        <w:ind w:firstLine="94"/>
        <w:jc w:val="left"/>
      </w:pPr>
      <w:r>
        <w:t xml:space="preserve"> Zmiany wymienionej ustawy zostały ogłoszone w Dz. U. z 1997 r. Nr 128, poz. 840, z 1999 r. Nr 64, poz. 729 i Nr 83, poz. 931, z 2000 r. Nr 48, poz. 548, Nr 93, poz. 1027 i Nr 116, poz. 1216, z 2001 r. Nr 98, poz. 1071, z 2003 r. Nr 111, poz. 1061, Nr 121, poz. 1142, Nr 179, poz. 1750, Nr 199, poz. 1935 i Nr 228, poz. 2255, z 2004 r. Nr 25, poz. 219, Nr 69, poz. 626, Nr 93, poz. 889 i Nr 243, poz. 2426, z 2005 r. Nr 86, poz. 732, Nr 90, poz. 757, Nr 132, poz. 1109, Nr 163, poz. 1363, Nr 178, poz. 1479 i Nr 180, poz. 1493, z 2006 r. Nr 190, poz. 1409, Nr 218, poz. 1592 i Nr 226, poz. 1648, z 2007 r. Nr 89, poz. 589, Nr 123, poz. 850, Nr 124, poz. 859 i Nr 192, poz. 1378, z 2008 r. Nr 90, poz. 560, Nr 122, poz. 782, Nr 171, poz. 1056, Nr 173, poz. 1080 i Nr 214, poz. 1344, z 2009 r. Nr 62, poz. 504, Nr 63, poz. 533, Nr 166, poz. 1317, Nr 168, poz. 1323, Nr 190, poz. 1474, Nr 201, poz. 1540 i Nr 206, poz. 1589, z 2010 r. Nr 7, poz. 46, Nr 40, poz. 227 i 229, Nr 98, poz. 625 i 626, Nr 125, poz. 842, Nr 127, poz. 857, Nr 152, poz. 1018 i 1021, Nr 182, poz. 1228, Nr 225, poz. 1474 i Nr 240, poz. 1602, z 2011 r. Nr 17, poz. 78, Nr 24, poz. 130, Nr 39, poz. 202, Nr 48, poz. 245, Nr 72, poz. 381, Nr 94, poz. 549, Nr 117, poz. 678, Nr 133, poz. 767, Nr 160, poz. 964, Nr 191, poz. 1135, Nr 217, poz. 1280, Nr 233, poz. 1381 i Nr 240, poz. 1431, z 2012 r. poz. 611, z 2013 r. poz. 849, 905, 1036 i 1247, z 2014 r. poz. 538 oraz z 2015 r. poz. 396, 541,1549, 1707 i 1855. </w:t>
      </w:r>
    </w:p>
  </w:footnote>
  <w:footnote w:id="16">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17">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18">
    <w:p w:rsidR="00025B8E" w:rsidRDefault="00C13F2C">
      <w:pPr>
        <w:pStyle w:val="footnotedescription"/>
        <w:tabs>
          <w:tab w:val="center" w:pos="3440"/>
        </w:tabs>
        <w:jc w:val="left"/>
      </w:pPr>
      <w:r>
        <w:rPr>
          <w:rStyle w:val="footnotemark"/>
        </w:rPr>
        <w:footnoteRef/>
      </w:r>
      <w:r>
        <w:t xml:space="preserve"> Zgodnie z przepisami krajowymi wdrażającymi art. 57 ust. 6 dyrektywy 2014/24/UE. </w:t>
      </w:r>
    </w:p>
  </w:footnote>
  <w:footnote w:id="19">
    <w:p w:rsidR="00025B8E" w:rsidRDefault="00C13F2C">
      <w:pPr>
        <w:pStyle w:val="footnotedescription"/>
        <w:tabs>
          <w:tab w:val="center" w:pos="6495"/>
        </w:tabs>
        <w:jc w:val="left"/>
      </w:pPr>
      <w:r>
        <w:rPr>
          <w:rStyle w:val="footnotemark"/>
        </w:rPr>
        <w:footnoteRef/>
      </w:r>
      <w:r>
        <w:t xml:space="preserve"> Uwzględniając charakter popełnionych przestępstw (jednorazowe, powtarzające się, systematyczne itd.), objaśnienie powinno wykazywać stosowność przedsięwziętych środków.  </w:t>
      </w:r>
    </w:p>
  </w:footnote>
  <w:footnote w:id="20">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21">
    <w:p w:rsidR="00025B8E" w:rsidRDefault="00C13F2C">
      <w:pPr>
        <w:pStyle w:val="footnotedescription"/>
        <w:tabs>
          <w:tab w:val="center" w:pos="3079"/>
        </w:tabs>
        <w:jc w:val="left"/>
      </w:pPr>
      <w:r>
        <w:rPr>
          <w:rStyle w:val="footnotemark"/>
        </w:rPr>
        <w:footnoteRef/>
      </w:r>
      <w:r>
        <w:t xml:space="preserve"> Zob. przepisy krajowe, stosowne ogłoszenie lub dokumenty zamówienia. </w:t>
      </w:r>
    </w:p>
  </w:footnote>
  <w:footnote w:id="22">
    <w:p w:rsidR="00025B8E" w:rsidRDefault="00C13F2C">
      <w:pPr>
        <w:pStyle w:val="footnotedescription"/>
        <w:spacing w:line="250" w:lineRule="auto"/>
      </w:pPr>
      <w:r>
        <w:rPr>
          <w:rStyle w:val="footnotemark"/>
        </w:rPr>
        <w:footnoteRef/>
      </w:r>
      <w:r>
        <w:t xml:space="preserve"> Nie trzeba podawać tych informacji, jeżeli wykluczenie wykonawców w jednym z przypadków wymienionych w lit. a)–f) stało się obowiązkowe na mocy obowiązującego prawa krajowego bez żadnej możliwości odstępstwa w sytuacji, gdy wykonawcy są pomimo to w stanie zrealizować zamówienie. </w:t>
      </w:r>
    </w:p>
  </w:footnote>
  <w:footnote w:id="23">
    <w:p w:rsidR="00025B8E" w:rsidRDefault="00C13F2C">
      <w:pPr>
        <w:pStyle w:val="footnotedescription"/>
        <w:jc w:val="left"/>
      </w:pPr>
      <w:r>
        <w:rPr>
          <w:rStyle w:val="footnotemark"/>
        </w:rPr>
        <w:footnoteRef/>
      </w:r>
      <w:r>
        <w:t xml:space="preserve"> W stosownych przypadkach zob. definicje w prawie krajowym, stosownym ogłoszeniu lub dokumentach zamówienia. </w:t>
      </w:r>
    </w:p>
    <w:p w:rsidR="00025B8E" w:rsidRDefault="00C13F2C">
      <w:pPr>
        <w:pStyle w:val="footnotedescription"/>
        <w:jc w:val="left"/>
      </w:pPr>
      <w:r>
        <w:rPr>
          <w:rFonts w:ascii="Segoe UI Symbol" w:eastAsia="Segoe UI Symbol" w:hAnsi="Segoe UI Symbol" w:cs="Segoe UI Symbol"/>
          <w:sz w:val="13"/>
        </w:rPr>
        <w:t></w:t>
      </w:r>
    </w:p>
    <w:p w:rsidR="00025B8E" w:rsidRDefault="00C13F2C">
      <w:pPr>
        <w:pStyle w:val="footnotedescription"/>
        <w:ind w:left="79"/>
        <w:jc w:val="left"/>
      </w:pPr>
      <w:r>
        <w:t xml:space="preserve"> por. wyrok Trybunału Sprawiedliwości UE z dnia 13 grudnia 2012 r. w sprawie C-465/11 </w:t>
      </w:r>
      <w:r>
        <w:rPr>
          <w:i/>
        </w:rPr>
        <w:t>Forposta SA i ABC Direct Contact sp. z o.o. przeciwko Poczta Polska SA</w:t>
      </w:r>
      <w:r>
        <w:t xml:space="preserve">, ECLI:EU:C:2012:801, pkt 27 </w:t>
      </w:r>
    </w:p>
  </w:footnote>
  <w:footnote w:id="24">
    <w:p w:rsidR="00025B8E" w:rsidRDefault="00C13F2C">
      <w:pPr>
        <w:pStyle w:val="footnotedescription"/>
        <w:tabs>
          <w:tab w:val="center" w:pos="3559"/>
        </w:tabs>
        <w:jc w:val="left"/>
      </w:pPr>
      <w:r>
        <w:rPr>
          <w:rStyle w:val="footnotemark"/>
        </w:rPr>
        <w:footnoteRef/>
      </w:r>
      <w:r>
        <w:t xml:space="preserve"> Wskazanym w prawie krajowym, stosownym ogłoszeniu lub dokumentach zamówienia. </w:t>
      </w:r>
    </w:p>
  </w:footnote>
  <w:footnote w:id="25">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26">
    <w:p w:rsidR="00025B8E" w:rsidRDefault="00C13F2C">
      <w:pPr>
        <w:pStyle w:val="footnotedescription"/>
        <w:tabs>
          <w:tab w:val="center" w:pos="7028"/>
        </w:tabs>
        <w:jc w:val="left"/>
      </w:pPr>
      <w:r>
        <w:rPr>
          <w:rStyle w:val="footnotemark"/>
        </w:rPr>
        <w:footnoteRef/>
      </w:r>
      <w:r>
        <w:t xml:space="preserve"> Zgodnie z opisem w załączniku XI do dyrektywy 2014/24/UE; wykonawcy z niektórych państw członkowskich mogą być zobowiązani do spełnienia innych wymogów określonych w tym załączniku. </w:t>
      </w:r>
    </w:p>
  </w:footnote>
  <w:footnote w:id="27">
    <w:p w:rsidR="00025B8E" w:rsidRDefault="00C13F2C">
      <w:pPr>
        <w:pStyle w:val="footnotedescription"/>
        <w:tabs>
          <w:tab w:val="center" w:pos="3657"/>
        </w:tabs>
        <w:jc w:val="left"/>
      </w:pPr>
      <w:r>
        <w:rPr>
          <w:rStyle w:val="footnotemark"/>
        </w:rPr>
        <w:footnoteRef/>
      </w:r>
      <w:r>
        <w:t xml:space="preserve"> Jedynie jeżeli jest to dopuszczone w stosownym ogłoszeniu lub dokumentach zamówienia. </w:t>
      </w:r>
    </w:p>
  </w:footnote>
  <w:footnote w:id="28">
    <w:p w:rsidR="00025B8E" w:rsidRDefault="00C13F2C">
      <w:pPr>
        <w:pStyle w:val="footnotedescription"/>
        <w:tabs>
          <w:tab w:val="center" w:pos="3657"/>
        </w:tabs>
        <w:jc w:val="left"/>
      </w:pPr>
      <w:r>
        <w:rPr>
          <w:rStyle w:val="footnotemark"/>
        </w:rPr>
        <w:footnoteRef/>
      </w:r>
      <w:r>
        <w:t xml:space="preserve"> Jedynie jeżeli jest to dopuszczone w stosownym ogłoszeniu lub dokumentach zamówienia. </w:t>
      </w:r>
    </w:p>
  </w:footnote>
  <w:footnote w:id="29">
    <w:p w:rsidR="00025B8E" w:rsidRDefault="00C13F2C">
      <w:pPr>
        <w:pStyle w:val="footnotedescription"/>
        <w:tabs>
          <w:tab w:val="center" w:pos="1982"/>
        </w:tabs>
        <w:jc w:val="left"/>
      </w:pPr>
      <w:r>
        <w:rPr>
          <w:rStyle w:val="footnotemark"/>
        </w:rPr>
        <w:footnoteRef/>
      </w:r>
      <w:r>
        <w:t xml:space="preserve"> Np. stosunek aktywów do zobowiązań. </w:t>
      </w:r>
    </w:p>
  </w:footnote>
  <w:footnote w:id="30">
    <w:p w:rsidR="00025B8E" w:rsidRDefault="00C13F2C">
      <w:pPr>
        <w:pStyle w:val="footnotedescription"/>
        <w:tabs>
          <w:tab w:val="center" w:pos="1981"/>
        </w:tabs>
        <w:jc w:val="left"/>
      </w:pPr>
      <w:r>
        <w:rPr>
          <w:rStyle w:val="footnotemark"/>
        </w:rPr>
        <w:footnoteRef/>
      </w:r>
      <w:r>
        <w:t xml:space="preserve"> Np. stosunek aktywów do zobowiązań. </w:t>
      </w:r>
    </w:p>
  </w:footnote>
  <w:footnote w:id="31">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32">
    <w:p w:rsidR="00025B8E" w:rsidRDefault="00C13F2C">
      <w:pPr>
        <w:pStyle w:val="footnotedescription"/>
        <w:tabs>
          <w:tab w:val="center" w:pos="5571"/>
        </w:tabs>
        <w:jc w:val="left"/>
      </w:pPr>
      <w:r>
        <w:rPr>
          <w:rStyle w:val="footnotemark"/>
        </w:rPr>
        <w:footnoteRef/>
      </w:r>
      <w:r>
        <w:t xml:space="preserve"> Instytucje zamawiające mogą </w:t>
      </w:r>
      <w:r>
        <w:rPr>
          <w:b/>
        </w:rPr>
        <w:t>wymagać</w:t>
      </w:r>
      <w:r>
        <w:t xml:space="preserve">, aby okres ten wynosił do pięciu lat, i </w:t>
      </w:r>
      <w:r>
        <w:rPr>
          <w:b/>
        </w:rPr>
        <w:t>dopuszczać</w:t>
      </w:r>
      <w:r>
        <w:t xml:space="preserve"> legitymowanie się doświadczeniem sprzed </w:t>
      </w:r>
      <w:r>
        <w:rPr>
          <w:b/>
        </w:rPr>
        <w:t>ponad</w:t>
      </w:r>
      <w:r>
        <w:t xml:space="preserve"> pięciu lat. </w:t>
      </w:r>
    </w:p>
  </w:footnote>
  <w:footnote w:id="33">
    <w:p w:rsidR="00025B8E" w:rsidRDefault="00C13F2C">
      <w:pPr>
        <w:pStyle w:val="footnotedescription"/>
        <w:tabs>
          <w:tab w:val="center" w:pos="5588"/>
        </w:tabs>
        <w:jc w:val="left"/>
      </w:pPr>
      <w:r>
        <w:rPr>
          <w:rStyle w:val="footnotemark"/>
        </w:rPr>
        <w:footnoteRef/>
      </w:r>
      <w:r>
        <w:t xml:space="preserve"> Instytucje zamawiające mogą </w:t>
      </w:r>
      <w:r>
        <w:rPr>
          <w:b/>
        </w:rPr>
        <w:t>wymagać</w:t>
      </w:r>
      <w:r>
        <w:t xml:space="preserve">, aby okres ten wynosił do trzech lat, i </w:t>
      </w:r>
      <w:r>
        <w:rPr>
          <w:b/>
        </w:rPr>
        <w:t>dopuszczać</w:t>
      </w:r>
      <w:r>
        <w:t xml:space="preserve"> legitymowanie się doświadczeniem sprzed </w:t>
      </w:r>
      <w:r>
        <w:rPr>
          <w:b/>
        </w:rPr>
        <w:t>ponad</w:t>
      </w:r>
      <w:r>
        <w:t xml:space="preserve"> trzech lat. </w:t>
      </w:r>
    </w:p>
  </w:footnote>
  <w:footnote w:id="34">
    <w:p w:rsidR="00025B8E" w:rsidRDefault="00C13F2C">
      <w:pPr>
        <w:pStyle w:val="footnotedescription"/>
        <w:tabs>
          <w:tab w:val="center" w:pos="6763"/>
        </w:tabs>
        <w:jc w:val="left"/>
      </w:pPr>
      <w:r>
        <w:rPr>
          <w:rStyle w:val="footnotemark"/>
        </w:rPr>
        <w:footnoteRef/>
      </w:r>
      <w:r>
        <w:t xml:space="preserve"> Innymi słowy, należy wymienić </w:t>
      </w:r>
      <w:r>
        <w:rPr>
          <w:b/>
        </w:rPr>
        <w:t>wszystkich</w:t>
      </w:r>
      <w:r>
        <w:t xml:space="preserve"> odbiorców, a wykaz powinien obejmować zarówno klientów publicznych, jak i prywatnych w odniesieniu do przedmiotowych dostaw lub usług. </w:t>
      </w:r>
    </w:p>
  </w:footnote>
  <w:footnote w:id="35">
    <w:p w:rsidR="00025B8E" w:rsidRDefault="00C13F2C">
      <w:pPr>
        <w:pStyle w:val="footnotedescription"/>
        <w:spacing w:line="257" w:lineRule="auto"/>
      </w:pPr>
      <w:r>
        <w:rPr>
          <w:rStyle w:val="footnotemark"/>
        </w:rPr>
        <w:footnoteRef/>
      </w:r>
      <w:r>
        <w:t xml:space="preserve"> W przypadku pracowników technicznych lub służb technicznych nienależących bezpośrednio do przedsiębiorstwa danego wykonawcy, lecz na których zdolności wykonawca ten polega, jak określono w części II sekcja C, należy wypełnić odrębne formularze jednolitego europejskiego dokumentu zamówienia. </w:t>
      </w:r>
    </w:p>
  </w:footnote>
  <w:footnote w:id="36">
    <w:p w:rsidR="00025B8E" w:rsidRDefault="00C13F2C">
      <w:pPr>
        <w:pStyle w:val="footnotedescription"/>
        <w:spacing w:line="247" w:lineRule="auto"/>
      </w:pPr>
      <w:r>
        <w:rPr>
          <w:rStyle w:val="footnotemark"/>
        </w:rPr>
        <w:footnoteRef/>
      </w:r>
      <w:r>
        <w:t xml:space="preserve"> Kontrolę ma przeprowadzać instytucja zamawiająca lub – w przypadku gdy instytucja ta wyrazi na to zgodę – w jej imieniu, właściwy organ urzędowy państwa, w którym dostawca lub usługodawca ma siedzibę. </w:t>
      </w:r>
    </w:p>
  </w:footnote>
  <w:footnote w:id="37">
    <w:p w:rsidR="00025B8E" w:rsidRDefault="00C13F2C">
      <w:pPr>
        <w:pStyle w:val="footnotedescription"/>
        <w:spacing w:line="248" w:lineRule="auto"/>
      </w:pPr>
      <w:r>
        <w:rPr>
          <w:rStyle w:val="footnotemark"/>
        </w:rPr>
        <w:footnoteRef/>
      </w:r>
      <w:r>
        <w:t xml:space="preserve"> Należy zauważyć, że jeżeli wykonawca </w:t>
      </w:r>
      <w:r>
        <w:rPr>
          <w:b/>
        </w:rPr>
        <w:t>postanowił</w:t>
      </w:r>
      <w:r>
        <w:t xml:space="preserve"> zlecić podwykonawcom realizację części zamówienia </w:t>
      </w:r>
      <w:r>
        <w:rPr>
          <w:b/>
        </w:rPr>
        <w:t>oraz</w:t>
      </w:r>
      <w:r>
        <w:t xml:space="preserve"> polega na zdolności podwykonawców na potrzeby realizacji tej części, to należy wypełnić odrębny jednolity europejski dokument zamówienia dla tych podwykonawców (zob. powyżej, część II sekcja C). </w:t>
      </w:r>
    </w:p>
  </w:footnote>
  <w:footnote w:id="38">
    <w:p w:rsidR="00025B8E" w:rsidRDefault="00C13F2C">
      <w:pPr>
        <w:pStyle w:val="footnotedescription"/>
        <w:tabs>
          <w:tab w:val="center" w:pos="2772"/>
        </w:tabs>
        <w:jc w:val="left"/>
      </w:pPr>
      <w:r>
        <w:rPr>
          <w:rStyle w:val="footnotemark"/>
        </w:rPr>
        <w:footnoteRef/>
      </w:r>
      <w:r>
        <w:t xml:space="preserve"> Proszę jasno wskazać, do której z pozycji odnosi się odpowiedź. </w:t>
      </w:r>
    </w:p>
  </w:footnote>
  <w:footnote w:id="39">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40">
    <w:p w:rsidR="00025B8E" w:rsidRDefault="00C13F2C">
      <w:pPr>
        <w:pStyle w:val="footnotedescription"/>
        <w:tabs>
          <w:tab w:val="center" w:pos="2283"/>
        </w:tabs>
        <w:jc w:val="left"/>
      </w:pPr>
      <w:r>
        <w:rPr>
          <w:rStyle w:val="footnotemark"/>
        </w:rPr>
        <w:footnoteRef/>
      </w:r>
      <w:r>
        <w:t xml:space="preserve"> Proszę powtórzyć tyle razy, ile jest to konieczne. </w:t>
      </w:r>
    </w:p>
  </w:footnote>
  <w:footnote w:id="41">
    <w:p w:rsidR="00025B8E" w:rsidRDefault="00C13F2C">
      <w:pPr>
        <w:pStyle w:val="footnotedescription"/>
        <w:spacing w:line="251" w:lineRule="auto"/>
        <w:ind w:left="12"/>
      </w:pPr>
      <w:r>
        <w:rPr>
          <w:rStyle w:val="footnotemark"/>
        </w:rPr>
        <w:footnoteRef/>
      </w:r>
      <w:r>
        <w:t xml:space="preserve"> Pod warunkiem że wykonawca przekazał niezbędne informacje (adres internetowy, dane wydającego urzędu lub organu, dokładne dane referencyjne dokumentacji) umożliwiające instytucji zamawiającej lub podmiotowi zamawiającemu tę czynność. W razie potrzeby musi temu towarzyszyć odpowiednia zgoda na uzyskanie takiego dostępu.  </w:t>
      </w:r>
    </w:p>
  </w:footnote>
  <w:footnote w:id="42">
    <w:p w:rsidR="00025B8E" w:rsidRDefault="00C13F2C">
      <w:pPr>
        <w:pStyle w:val="footnotedescription"/>
        <w:tabs>
          <w:tab w:val="center" w:pos="3874"/>
        </w:tabs>
        <w:jc w:val="left"/>
      </w:pPr>
      <w:r>
        <w:rPr>
          <w:rStyle w:val="footnotemark"/>
        </w:rPr>
        <w:footnoteRef/>
      </w:r>
      <w:r>
        <w:t xml:space="preserve"> W zależności od wdrożenia w danym kraju artykułu 59 ust. 5 akapit drugi dyrektywy 2014/24/UE.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152E1"/>
    <w:multiLevelType w:val="hybridMultilevel"/>
    <w:tmpl w:val="6CE88A1A"/>
    <w:lvl w:ilvl="0" w:tplc="9FC01624">
      <w:start w:val="2"/>
      <w:numFmt w:val="decimal"/>
      <w:lvlText w:val="%1."/>
      <w:lvlJc w:val="left"/>
      <w:pPr>
        <w:ind w:left="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E6E4674A">
      <w:start w:val="1"/>
      <w:numFmt w:val="lowerLetter"/>
      <w:lvlText w:val="%2"/>
      <w:lvlJc w:val="left"/>
      <w:pPr>
        <w:ind w:left="14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1C16E20E">
      <w:start w:val="1"/>
      <w:numFmt w:val="lowerRoman"/>
      <w:lvlText w:val="%3"/>
      <w:lvlJc w:val="left"/>
      <w:pPr>
        <w:ind w:left="214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F0A8E72C">
      <w:start w:val="1"/>
      <w:numFmt w:val="decimal"/>
      <w:lvlText w:val="%4"/>
      <w:lvlJc w:val="left"/>
      <w:pPr>
        <w:ind w:left="286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16343784">
      <w:start w:val="1"/>
      <w:numFmt w:val="lowerLetter"/>
      <w:lvlText w:val="%5"/>
      <w:lvlJc w:val="left"/>
      <w:pPr>
        <w:ind w:left="358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1BD663E2">
      <w:start w:val="1"/>
      <w:numFmt w:val="lowerRoman"/>
      <w:lvlText w:val="%6"/>
      <w:lvlJc w:val="left"/>
      <w:pPr>
        <w:ind w:left="430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61661326">
      <w:start w:val="1"/>
      <w:numFmt w:val="decimal"/>
      <w:lvlText w:val="%7"/>
      <w:lvlJc w:val="left"/>
      <w:pPr>
        <w:ind w:left="50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1200DE74">
      <w:start w:val="1"/>
      <w:numFmt w:val="lowerLetter"/>
      <w:lvlText w:val="%8"/>
      <w:lvlJc w:val="left"/>
      <w:pPr>
        <w:ind w:left="574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87AC784A">
      <w:start w:val="1"/>
      <w:numFmt w:val="lowerRoman"/>
      <w:lvlText w:val="%9"/>
      <w:lvlJc w:val="left"/>
      <w:pPr>
        <w:ind w:left="646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3272A7A"/>
    <w:multiLevelType w:val="hybridMultilevel"/>
    <w:tmpl w:val="647EB9AE"/>
    <w:lvl w:ilvl="0" w:tplc="C6F2D4AE">
      <w:start w:val="1"/>
      <w:numFmt w:val="bullet"/>
      <w:lvlText w:val="–"/>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1ABD6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76565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7009C2">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D4437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BA97F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B28A0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FA6C1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3A573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7E1D1E"/>
    <w:multiLevelType w:val="hybridMultilevel"/>
    <w:tmpl w:val="759AFCAA"/>
    <w:lvl w:ilvl="0" w:tplc="AAA63E00">
      <w:start w:val="6"/>
      <w:numFmt w:val="decimal"/>
      <w:lvlText w:val="%1"/>
      <w:lvlJc w:val="left"/>
      <w:pPr>
        <w:ind w:left="708"/>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1" w:tplc="EB28F08C">
      <w:start w:val="1"/>
      <w:numFmt w:val="lowerLetter"/>
      <w:lvlText w:val="%2"/>
      <w:lvlJc w:val="left"/>
      <w:pPr>
        <w:ind w:left="109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2" w:tplc="ABFA11FC">
      <w:start w:val="1"/>
      <w:numFmt w:val="lowerRoman"/>
      <w:lvlText w:val="%3"/>
      <w:lvlJc w:val="left"/>
      <w:pPr>
        <w:ind w:left="18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3" w:tplc="627CA1D0">
      <w:start w:val="1"/>
      <w:numFmt w:val="decimal"/>
      <w:lvlText w:val="%4"/>
      <w:lvlJc w:val="left"/>
      <w:pPr>
        <w:ind w:left="253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4" w:tplc="16484B96">
      <w:start w:val="1"/>
      <w:numFmt w:val="lowerLetter"/>
      <w:lvlText w:val="%5"/>
      <w:lvlJc w:val="left"/>
      <w:pPr>
        <w:ind w:left="325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5" w:tplc="46DE0EF2">
      <w:start w:val="1"/>
      <w:numFmt w:val="lowerRoman"/>
      <w:lvlText w:val="%6"/>
      <w:lvlJc w:val="left"/>
      <w:pPr>
        <w:ind w:left="397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6" w:tplc="DF6816AC">
      <w:start w:val="1"/>
      <w:numFmt w:val="decimal"/>
      <w:lvlText w:val="%7"/>
      <w:lvlJc w:val="left"/>
      <w:pPr>
        <w:ind w:left="469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7" w:tplc="256E5AF0">
      <w:start w:val="1"/>
      <w:numFmt w:val="lowerLetter"/>
      <w:lvlText w:val="%8"/>
      <w:lvlJc w:val="left"/>
      <w:pPr>
        <w:ind w:left="54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8" w:tplc="18A49EC4">
      <w:start w:val="1"/>
      <w:numFmt w:val="lowerRoman"/>
      <w:lvlText w:val="%9"/>
      <w:lvlJc w:val="left"/>
      <w:pPr>
        <w:ind w:left="6132"/>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abstractNum>
  <w:abstractNum w:abstractNumId="3" w15:restartNumberingAfterBreak="0">
    <w:nsid w:val="0E0208CA"/>
    <w:multiLevelType w:val="hybridMultilevel"/>
    <w:tmpl w:val="E19257D2"/>
    <w:lvl w:ilvl="0" w:tplc="A8D2081E">
      <w:start w:val="1"/>
      <w:numFmt w:val="decimal"/>
      <w:lvlText w:val="%1."/>
      <w:lvlJc w:val="left"/>
      <w:pPr>
        <w:ind w:left="8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2B41CC4">
      <w:start w:val="1"/>
      <w:numFmt w:val="lowerLetter"/>
      <w:lvlText w:val="%2"/>
      <w:lvlJc w:val="left"/>
      <w:pPr>
        <w:ind w:left="11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C4BA40">
      <w:start w:val="1"/>
      <w:numFmt w:val="lowerRoman"/>
      <w:lvlText w:val="%3"/>
      <w:lvlJc w:val="left"/>
      <w:pPr>
        <w:ind w:left="19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2F45C5C">
      <w:start w:val="1"/>
      <w:numFmt w:val="decimal"/>
      <w:lvlText w:val="%4"/>
      <w:lvlJc w:val="left"/>
      <w:pPr>
        <w:ind w:left="26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F6A6F2">
      <w:start w:val="1"/>
      <w:numFmt w:val="lowerLetter"/>
      <w:lvlText w:val="%5"/>
      <w:lvlJc w:val="left"/>
      <w:pPr>
        <w:ind w:left="33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91201A4">
      <w:start w:val="1"/>
      <w:numFmt w:val="lowerRoman"/>
      <w:lvlText w:val="%6"/>
      <w:lvlJc w:val="left"/>
      <w:pPr>
        <w:ind w:left="40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8D87022">
      <w:start w:val="1"/>
      <w:numFmt w:val="decimal"/>
      <w:lvlText w:val="%7"/>
      <w:lvlJc w:val="left"/>
      <w:pPr>
        <w:ind w:left="47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BBAAEB2">
      <w:start w:val="1"/>
      <w:numFmt w:val="lowerLetter"/>
      <w:lvlText w:val="%8"/>
      <w:lvlJc w:val="left"/>
      <w:pPr>
        <w:ind w:left="55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53CEF7A">
      <w:start w:val="1"/>
      <w:numFmt w:val="lowerRoman"/>
      <w:lvlText w:val="%9"/>
      <w:lvlJc w:val="left"/>
      <w:pPr>
        <w:ind w:left="62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7420042"/>
    <w:multiLevelType w:val="hybridMultilevel"/>
    <w:tmpl w:val="09D8EF28"/>
    <w:lvl w:ilvl="0" w:tplc="78CE08D8">
      <w:start w:val="1"/>
      <w:numFmt w:val="bullet"/>
      <w:lvlText w:val=""/>
      <w:lvlJc w:val="left"/>
      <w:pPr>
        <w:ind w:left="7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BED0C89C">
      <w:start w:val="1"/>
      <w:numFmt w:val="bullet"/>
      <w:lvlText w:val="–"/>
      <w:lvlJc w:val="left"/>
      <w:pPr>
        <w:ind w:left="14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2986EFC">
      <w:start w:val="1"/>
      <w:numFmt w:val="bullet"/>
      <w:lvlText w:val="▪"/>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BDEE46E">
      <w:start w:val="1"/>
      <w:numFmt w:val="bullet"/>
      <w:lvlText w:val="•"/>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6365F7E">
      <w:start w:val="1"/>
      <w:numFmt w:val="bullet"/>
      <w:lvlText w:val="o"/>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DB41890">
      <w:start w:val="1"/>
      <w:numFmt w:val="bullet"/>
      <w:lvlText w:val="▪"/>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0809DB2">
      <w:start w:val="1"/>
      <w:numFmt w:val="bullet"/>
      <w:lvlText w:val="•"/>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E231E4">
      <w:start w:val="1"/>
      <w:numFmt w:val="bullet"/>
      <w:lvlText w:val="o"/>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ED22042">
      <w:start w:val="1"/>
      <w:numFmt w:val="bullet"/>
      <w:lvlText w:val="▪"/>
      <w:lvlJc w:val="left"/>
      <w:pPr>
        <w:ind w:left="68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BA71917"/>
    <w:multiLevelType w:val="hybridMultilevel"/>
    <w:tmpl w:val="99E098E6"/>
    <w:lvl w:ilvl="0" w:tplc="581488BC">
      <w:start w:val="1"/>
      <w:numFmt w:val="decimal"/>
      <w:lvlText w:val="%1)"/>
      <w:lvlJc w:val="left"/>
      <w:pPr>
        <w:ind w:left="91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2AAEBF9A">
      <w:start w:val="1"/>
      <w:numFmt w:val="lowerLetter"/>
      <w:lvlText w:val="%2"/>
      <w:lvlJc w:val="left"/>
      <w:pPr>
        <w:ind w:left="189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2B441424">
      <w:start w:val="1"/>
      <w:numFmt w:val="lowerRoman"/>
      <w:lvlText w:val="%3"/>
      <w:lvlJc w:val="left"/>
      <w:pPr>
        <w:ind w:left="261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F134EE56">
      <w:start w:val="1"/>
      <w:numFmt w:val="decimal"/>
      <w:lvlText w:val="%4"/>
      <w:lvlJc w:val="left"/>
      <w:pPr>
        <w:ind w:left="333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E86E810">
      <w:start w:val="1"/>
      <w:numFmt w:val="lowerLetter"/>
      <w:lvlText w:val="%5"/>
      <w:lvlJc w:val="left"/>
      <w:pPr>
        <w:ind w:left="405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57C6D818">
      <w:start w:val="1"/>
      <w:numFmt w:val="lowerRoman"/>
      <w:lvlText w:val="%6"/>
      <w:lvlJc w:val="left"/>
      <w:pPr>
        <w:ind w:left="477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BE08F3B2">
      <w:start w:val="1"/>
      <w:numFmt w:val="decimal"/>
      <w:lvlText w:val="%7"/>
      <w:lvlJc w:val="left"/>
      <w:pPr>
        <w:ind w:left="549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8CCE1D78">
      <w:start w:val="1"/>
      <w:numFmt w:val="lowerLetter"/>
      <w:lvlText w:val="%8"/>
      <w:lvlJc w:val="left"/>
      <w:pPr>
        <w:ind w:left="621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D14001DC">
      <w:start w:val="1"/>
      <w:numFmt w:val="lowerRoman"/>
      <w:lvlText w:val="%9"/>
      <w:lvlJc w:val="left"/>
      <w:pPr>
        <w:ind w:left="693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0F471DF"/>
    <w:multiLevelType w:val="hybridMultilevel"/>
    <w:tmpl w:val="78AAA7F8"/>
    <w:lvl w:ilvl="0" w:tplc="49606C32">
      <w:start w:val="1"/>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2945328">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986BF12">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F8C29CA">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D7466CC">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9CA9B96">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2FE89D0">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D90A95E">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4D67E68">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1341330"/>
    <w:multiLevelType w:val="hybridMultilevel"/>
    <w:tmpl w:val="86561526"/>
    <w:lvl w:ilvl="0" w:tplc="BFF0CE9E">
      <w:start w:val="25"/>
      <w:numFmt w:val="decimal"/>
      <w:lvlText w:val="%1"/>
      <w:lvlJc w:val="left"/>
      <w:pPr>
        <w:ind w:left="708"/>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1" w:tplc="0A081940">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2" w:tplc="F432E5F2">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3" w:tplc="1E44973A">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4" w:tplc="133071BE">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5" w:tplc="25929418">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6" w:tplc="02D61A68">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7" w:tplc="59D6F942">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8" w:tplc="F612AB20">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abstractNum>
  <w:abstractNum w:abstractNumId="8" w15:restartNumberingAfterBreak="0">
    <w:nsid w:val="23FD6860"/>
    <w:multiLevelType w:val="hybridMultilevel"/>
    <w:tmpl w:val="D7DA62D2"/>
    <w:lvl w:ilvl="0" w:tplc="6AD6318A">
      <w:start w:val="1"/>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8CF3BC">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0AA415E">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DCCCDAC">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34BBCA">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247538">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19C932A">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05A6BC2">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E98D5B4">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5BF4AAD"/>
    <w:multiLevelType w:val="hybridMultilevel"/>
    <w:tmpl w:val="46ACB6D8"/>
    <w:lvl w:ilvl="0" w:tplc="117C2160">
      <w:start w:val="1"/>
      <w:numFmt w:val="bullet"/>
      <w:lvlText w:val="•"/>
      <w:lvlJc w:val="left"/>
      <w:pPr>
        <w:ind w:left="7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B286D8C">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EA2D8D8">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6147106">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7D21AC8">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0EC392">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FC8E976">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9148666">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87CCC54">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5D92DD1"/>
    <w:multiLevelType w:val="hybridMultilevel"/>
    <w:tmpl w:val="B94896BE"/>
    <w:lvl w:ilvl="0" w:tplc="9BFA4A86">
      <w:start w:val="1"/>
      <w:numFmt w:val="lowerLetter"/>
      <w:lvlText w:val="%1)"/>
      <w:lvlJc w:val="left"/>
      <w:pPr>
        <w:ind w:left="2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242F122">
      <w:start w:val="1"/>
      <w:numFmt w:val="lowerLetter"/>
      <w:lvlText w:val="%2"/>
      <w:lvlJc w:val="left"/>
      <w:pPr>
        <w:ind w:left="11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782E1A">
      <w:start w:val="1"/>
      <w:numFmt w:val="lowerRoman"/>
      <w:lvlText w:val="%3"/>
      <w:lvlJc w:val="left"/>
      <w:pPr>
        <w:ind w:left="19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B0A7964">
      <w:start w:val="1"/>
      <w:numFmt w:val="decimal"/>
      <w:lvlText w:val="%4"/>
      <w:lvlJc w:val="left"/>
      <w:pPr>
        <w:ind w:left="26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EA4DEC4">
      <w:start w:val="1"/>
      <w:numFmt w:val="lowerLetter"/>
      <w:lvlText w:val="%5"/>
      <w:lvlJc w:val="left"/>
      <w:pPr>
        <w:ind w:left="33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21C03A8">
      <w:start w:val="1"/>
      <w:numFmt w:val="lowerRoman"/>
      <w:lvlText w:val="%6"/>
      <w:lvlJc w:val="left"/>
      <w:pPr>
        <w:ind w:left="40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80CF2A">
      <w:start w:val="1"/>
      <w:numFmt w:val="decimal"/>
      <w:lvlText w:val="%7"/>
      <w:lvlJc w:val="left"/>
      <w:pPr>
        <w:ind w:left="47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54B3D0">
      <w:start w:val="1"/>
      <w:numFmt w:val="lowerLetter"/>
      <w:lvlText w:val="%8"/>
      <w:lvlJc w:val="left"/>
      <w:pPr>
        <w:ind w:left="55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D8EADC8">
      <w:start w:val="1"/>
      <w:numFmt w:val="lowerRoman"/>
      <w:lvlText w:val="%9"/>
      <w:lvlJc w:val="left"/>
      <w:pPr>
        <w:ind w:left="62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CE46B38"/>
    <w:multiLevelType w:val="hybridMultilevel"/>
    <w:tmpl w:val="479227C2"/>
    <w:lvl w:ilvl="0" w:tplc="842ACD3A">
      <w:start w:val="1"/>
      <w:numFmt w:val="lowerLetter"/>
      <w:lvlText w:val="%1)"/>
      <w:lvlJc w:val="left"/>
      <w:pPr>
        <w:ind w:left="23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BE009AAC">
      <w:start w:val="1"/>
      <w:numFmt w:val="lowerLetter"/>
      <w:lvlText w:val="%2"/>
      <w:lvlJc w:val="left"/>
      <w:pPr>
        <w:ind w:left="10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3424AF1C">
      <w:start w:val="1"/>
      <w:numFmt w:val="lowerRoman"/>
      <w:lvlText w:val="%3"/>
      <w:lvlJc w:val="left"/>
      <w:pPr>
        <w:ind w:left="18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64A0BEA6">
      <w:start w:val="1"/>
      <w:numFmt w:val="decimal"/>
      <w:lvlText w:val="%4"/>
      <w:lvlJc w:val="left"/>
      <w:pPr>
        <w:ind w:left="25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8604F02A">
      <w:start w:val="1"/>
      <w:numFmt w:val="lowerLetter"/>
      <w:lvlText w:val="%5"/>
      <w:lvlJc w:val="left"/>
      <w:pPr>
        <w:ind w:left="32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437EB99C">
      <w:start w:val="1"/>
      <w:numFmt w:val="lowerRoman"/>
      <w:lvlText w:val="%6"/>
      <w:lvlJc w:val="left"/>
      <w:pPr>
        <w:ind w:left="39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0A48E258">
      <w:start w:val="1"/>
      <w:numFmt w:val="decimal"/>
      <w:lvlText w:val="%7"/>
      <w:lvlJc w:val="left"/>
      <w:pPr>
        <w:ind w:left="46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FB64E79A">
      <w:start w:val="1"/>
      <w:numFmt w:val="lowerLetter"/>
      <w:lvlText w:val="%8"/>
      <w:lvlJc w:val="left"/>
      <w:pPr>
        <w:ind w:left="54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B25AD3C2">
      <w:start w:val="1"/>
      <w:numFmt w:val="lowerRoman"/>
      <w:lvlText w:val="%9"/>
      <w:lvlJc w:val="left"/>
      <w:pPr>
        <w:ind w:left="61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037700E"/>
    <w:multiLevelType w:val="hybridMultilevel"/>
    <w:tmpl w:val="45ECC33E"/>
    <w:lvl w:ilvl="0" w:tplc="9A7E7F9E">
      <w:start w:val="1"/>
      <w:numFmt w:val="bullet"/>
      <w:lvlText w:val="–"/>
      <w:lvlJc w:val="left"/>
      <w:pPr>
        <w:ind w:left="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822FD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56BA8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029012">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D6981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14D31E">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E690D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5E542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B6377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077773D"/>
    <w:multiLevelType w:val="hybridMultilevel"/>
    <w:tmpl w:val="4934A526"/>
    <w:lvl w:ilvl="0" w:tplc="1ECCE960">
      <w:start w:val="1"/>
      <w:numFmt w:val="decimal"/>
      <w:lvlText w:val="%1)"/>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68B620">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D5A819C">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3622958">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36A974E">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384362C">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DC4EB08">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A44B46E">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6725C5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08052E4"/>
    <w:multiLevelType w:val="hybridMultilevel"/>
    <w:tmpl w:val="8E5AB970"/>
    <w:lvl w:ilvl="0" w:tplc="7800320E">
      <w:start w:val="5"/>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A6A4F6">
      <w:start w:val="1"/>
      <w:numFmt w:val="lowerLetter"/>
      <w:lvlText w:val="%2"/>
      <w:lvlJc w:val="left"/>
      <w:pPr>
        <w:ind w:left="15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C904C24">
      <w:start w:val="1"/>
      <w:numFmt w:val="lowerRoman"/>
      <w:lvlText w:val="%3"/>
      <w:lvlJc w:val="left"/>
      <w:pPr>
        <w:ind w:left="22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7E05D84">
      <w:start w:val="1"/>
      <w:numFmt w:val="decimal"/>
      <w:lvlText w:val="%4"/>
      <w:lvlJc w:val="left"/>
      <w:pPr>
        <w:ind w:left="29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E9EE69E">
      <w:start w:val="1"/>
      <w:numFmt w:val="lowerLetter"/>
      <w:lvlText w:val="%5"/>
      <w:lvlJc w:val="left"/>
      <w:pPr>
        <w:ind w:left="3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7981D6C">
      <w:start w:val="1"/>
      <w:numFmt w:val="lowerRoman"/>
      <w:lvlText w:val="%6"/>
      <w:lvlJc w:val="left"/>
      <w:pPr>
        <w:ind w:left="4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FF08F74">
      <w:start w:val="1"/>
      <w:numFmt w:val="decimal"/>
      <w:lvlText w:val="%7"/>
      <w:lvlJc w:val="left"/>
      <w:pPr>
        <w:ind w:left="5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68A250">
      <w:start w:val="1"/>
      <w:numFmt w:val="lowerLetter"/>
      <w:lvlText w:val="%8"/>
      <w:lvlJc w:val="left"/>
      <w:pPr>
        <w:ind w:left="58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F0E4CD0">
      <w:start w:val="1"/>
      <w:numFmt w:val="lowerRoman"/>
      <w:lvlText w:val="%9"/>
      <w:lvlJc w:val="left"/>
      <w:pPr>
        <w:ind w:left="65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12D4E8C"/>
    <w:multiLevelType w:val="hybridMultilevel"/>
    <w:tmpl w:val="0D6E854A"/>
    <w:lvl w:ilvl="0" w:tplc="CD64EEF0">
      <w:start w:val="2"/>
      <w:numFmt w:val="decimal"/>
      <w:lvlText w:val="%1."/>
      <w:lvlJc w:val="left"/>
      <w:pPr>
        <w:ind w:left="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337C68AA">
      <w:start w:val="1"/>
      <w:numFmt w:val="lowerLetter"/>
      <w:lvlText w:val="%2"/>
      <w:lvlJc w:val="left"/>
      <w:pPr>
        <w:ind w:left="166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DA7E9C62">
      <w:start w:val="1"/>
      <w:numFmt w:val="lowerRoman"/>
      <w:lvlText w:val="%3"/>
      <w:lvlJc w:val="left"/>
      <w:pPr>
        <w:ind w:left="238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6B4652A">
      <w:start w:val="1"/>
      <w:numFmt w:val="decimal"/>
      <w:lvlText w:val="%4"/>
      <w:lvlJc w:val="left"/>
      <w:pPr>
        <w:ind w:left="310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869CA962">
      <w:start w:val="1"/>
      <w:numFmt w:val="lowerLetter"/>
      <w:lvlText w:val="%5"/>
      <w:lvlJc w:val="left"/>
      <w:pPr>
        <w:ind w:left="382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A7FE2C90">
      <w:start w:val="1"/>
      <w:numFmt w:val="lowerRoman"/>
      <w:lvlText w:val="%6"/>
      <w:lvlJc w:val="left"/>
      <w:pPr>
        <w:ind w:left="454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0D189B8E">
      <w:start w:val="1"/>
      <w:numFmt w:val="decimal"/>
      <w:lvlText w:val="%7"/>
      <w:lvlJc w:val="left"/>
      <w:pPr>
        <w:ind w:left="526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469A0ED2">
      <w:start w:val="1"/>
      <w:numFmt w:val="lowerLetter"/>
      <w:lvlText w:val="%8"/>
      <w:lvlJc w:val="left"/>
      <w:pPr>
        <w:ind w:left="598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E3857E2">
      <w:start w:val="1"/>
      <w:numFmt w:val="lowerRoman"/>
      <w:lvlText w:val="%9"/>
      <w:lvlJc w:val="left"/>
      <w:pPr>
        <w:ind w:left="670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314E37C0"/>
    <w:multiLevelType w:val="hybridMultilevel"/>
    <w:tmpl w:val="FFFADD52"/>
    <w:lvl w:ilvl="0" w:tplc="53D82118">
      <w:start w:val="1"/>
      <w:numFmt w:val="low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108B220">
      <w:start w:val="1"/>
      <w:numFmt w:val="lowerLetter"/>
      <w:lvlText w:val="%2"/>
      <w:lvlJc w:val="left"/>
      <w:pPr>
        <w:ind w:left="11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916889C">
      <w:start w:val="1"/>
      <w:numFmt w:val="lowerRoman"/>
      <w:lvlText w:val="%3"/>
      <w:lvlJc w:val="left"/>
      <w:pPr>
        <w:ind w:left="19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AE6F8EC">
      <w:start w:val="1"/>
      <w:numFmt w:val="decimal"/>
      <w:lvlText w:val="%4"/>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D80DBE8">
      <w:start w:val="1"/>
      <w:numFmt w:val="lowerLetter"/>
      <w:lvlText w:val="%5"/>
      <w:lvlJc w:val="left"/>
      <w:pPr>
        <w:ind w:left="33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FA07AC8">
      <w:start w:val="1"/>
      <w:numFmt w:val="lowerRoman"/>
      <w:lvlText w:val="%6"/>
      <w:lvlJc w:val="left"/>
      <w:pPr>
        <w:ind w:left="40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CB6427A">
      <w:start w:val="1"/>
      <w:numFmt w:val="decimal"/>
      <w:lvlText w:val="%7"/>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7C07758">
      <w:start w:val="1"/>
      <w:numFmt w:val="lowerLetter"/>
      <w:lvlText w:val="%8"/>
      <w:lvlJc w:val="left"/>
      <w:pPr>
        <w:ind w:left="55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6ECB8C">
      <w:start w:val="1"/>
      <w:numFmt w:val="lowerRoman"/>
      <w:lvlText w:val="%9"/>
      <w:lvlJc w:val="left"/>
      <w:pPr>
        <w:ind w:left="62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36C7B18"/>
    <w:multiLevelType w:val="hybridMultilevel"/>
    <w:tmpl w:val="41BACEC4"/>
    <w:lvl w:ilvl="0" w:tplc="E2F0CCF4">
      <w:start w:val="1"/>
      <w:numFmt w:val="bullet"/>
      <w:lvlText w:val=""/>
      <w:lvlJc w:val="left"/>
      <w:pPr>
        <w:ind w:left="7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5AC6E91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B2B3B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260146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B4449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DA4A41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0EA655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58C45C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D4A13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4A5616D"/>
    <w:multiLevelType w:val="hybridMultilevel"/>
    <w:tmpl w:val="9B766ECC"/>
    <w:lvl w:ilvl="0" w:tplc="197E74F6">
      <w:start w:val="3"/>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E169E7A">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962C30C">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01AB1C2">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5E40A96">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8ECFC7A">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F7A636E">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C2382A">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76E6DC6">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7A738F9"/>
    <w:multiLevelType w:val="hybridMultilevel"/>
    <w:tmpl w:val="EC287414"/>
    <w:lvl w:ilvl="0" w:tplc="A992D740">
      <w:start w:val="1"/>
      <w:numFmt w:val="lowerLetter"/>
      <w:lvlText w:val="%1)"/>
      <w:lvlJc w:val="left"/>
      <w:pPr>
        <w:ind w:left="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7E44182">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F64B8D2">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678A38A">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E04C78">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FE6333A">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360ED08">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F86FAF2">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2E6E32">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3CF2AAD"/>
    <w:multiLevelType w:val="hybridMultilevel"/>
    <w:tmpl w:val="F65A7D88"/>
    <w:lvl w:ilvl="0" w:tplc="55BA3386">
      <w:start w:val="1"/>
      <w:numFmt w:val="bullet"/>
      <w:lvlText w:val="–"/>
      <w:lvlJc w:val="left"/>
      <w:pPr>
        <w:ind w:left="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2C6BE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FCFA2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4E845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CA559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629F6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E094E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5A67A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384D3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7927083"/>
    <w:multiLevelType w:val="hybridMultilevel"/>
    <w:tmpl w:val="41106E86"/>
    <w:lvl w:ilvl="0" w:tplc="A362723A">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F40602">
      <w:start w:val="1"/>
      <w:numFmt w:val="lowerLetter"/>
      <w:lvlText w:val="%2"/>
      <w:lvlJc w:val="left"/>
      <w:pPr>
        <w:ind w:left="15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ACAFA54">
      <w:start w:val="1"/>
      <w:numFmt w:val="lowerRoman"/>
      <w:lvlText w:val="%3"/>
      <w:lvlJc w:val="left"/>
      <w:pPr>
        <w:ind w:left="22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00E90D2">
      <w:start w:val="1"/>
      <w:numFmt w:val="decimal"/>
      <w:lvlText w:val="%4"/>
      <w:lvlJc w:val="left"/>
      <w:pPr>
        <w:ind w:left="29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33A196A">
      <w:start w:val="1"/>
      <w:numFmt w:val="lowerLetter"/>
      <w:lvlText w:val="%5"/>
      <w:lvlJc w:val="left"/>
      <w:pPr>
        <w:ind w:left="3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6B67400">
      <w:start w:val="1"/>
      <w:numFmt w:val="lowerRoman"/>
      <w:lvlText w:val="%6"/>
      <w:lvlJc w:val="left"/>
      <w:pPr>
        <w:ind w:left="4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1B89B5E">
      <w:start w:val="1"/>
      <w:numFmt w:val="decimal"/>
      <w:lvlText w:val="%7"/>
      <w:lvlJc w:val="left"/>
      <w:pPr>
        <w:ind w:left="5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422D360">
      <w:start w:val="1"/>
      <w:numFmt w:val="lowerLetter"/>
      <w:lvlText w:val="%8"/>
      <w:lvlJc w:val="left"/>
      <w:pPr>
        <w:ind w:left="58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912C028">
      <w:start w:val="1"/>
      <w:numFmt w:val="lowerRoman"/>
      <w:lvlText w:val="%9"/>
      <w:lvlJc w:val="left"/>
      <w:pPr>
        <w:ind w:left="65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8FB1408"/>
    <w:multiLevelType w:val="hybridMultilevel"/>
    <w:tmpl w:val="6CDE220E"/>
    <w:lvl w:ilvl="0" w:tplc="FDEE1906">
      <w:start w:val="1"/>
      <w:numFmt w:val="decimal"/>
      <w:lvlText w:val="%1)"/>
      <w:lvlJc w:val="left"/>
      <w:pPr>
        <w:ind w:left="2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A7AF646">
      <w:start w:val="1"/>
      <w:numFmt w:val="bullet"/>
      <w:lvlText w:val="–"/>
      <w:lvlJc w:val="left"/>
      <w:pPr>
        <w:ind w:left="14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DCA2618">
      <w:start w:val="1"/>
      <w:numFmt w:val="bullet"/>
      <w:lvlText w:val="▪"/>
      <w:lvlJc w:val="left"/>
      <w:pPr>
        <w:ind w:left="20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18A7D08">
      <w:start w:val="1"/>
      <w:numFmt w:val="bullet"/>
      <w:lvlText w:val="•"/>
      <w:lvlJc w:val="left"/>
      <w:pPr>
        <w:ind w:left="27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A5CB4EE">
      <w:start w:val="1"/>
      <w:numFmt w:val="bullet"/>
      <w:lvlText w:val="o"/>
      <w:lvlJc w:val="left"/>
      <w:pPr>
        <w:ind w:left="347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050E394">
      <w:start w:val="1"/>
      <w:numFmt w:val="bullet"/>
      <w:lvlText w:val="▪"/>
      <w:lvlJc w:val="left"/>
      <w:pPr>
        <w:ind w:left="419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68C4556">
      <w:start w:val="1"/>
      <w:numFmt w:val="bullet"/>
      <w:lvlText w:val="•"/>
      <w:lvlJc w:val="left"/>
      <w:pPr>
        <w:ind w:left="491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25A5494">
      <w:start w:val="1"/>
      <w:numFmt w:val="bullet"/>
      <w:lvlText w:val="o"/>
      <w:lvlJc w:val="left"/>
      <w:pPr>
        <w:ind w:left="56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35EFE0A">
      <w:start w:val="1"/>
      <w:numFmt w:val="bullet"/>
      <w:lvlText w:val="▪"/>
      <w:lvlJc w:val="left"/>
      <w:pPr>
        <w:ind w:left="63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919063A"/>
    <w:multiLevelType w:val="hybridMultilevel"/>
    <w:tmpl w:val="FED61CCA"/>
    <w:lvl w:ilvl="0" w:tplc="E6947104">
      <w:start w:val="2"/>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0C3EFC">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EEB238">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858CE94">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A612EA">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1B203DC">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0E85764">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5022B32">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34E9D7A">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4BB0638D"/>
    <w:multiLevelType w:val="hybridMultilevel"/>
    <w:tmpl w:val="BB66E9F6"/>
    <w:lvl w:ilvl="0" w:tplc="FEDCE1D6">
      <w:start w:val="1"/>
      <w:numFmt w:val="decimal"/>
      <w:lvlText w:val="%1"/>
      <w:lvlJc w:val="left"/>
      <w:pPr>
        <w:ind w:left="86"/>
      </w:pPr>
      <w:rPr>
        <w:rFonts w:ascii="Calibri" w:eastAsia="Calibri" w:hAnsi="Calibri" w:cs="Calibri"/>
        <w:b w:val="0"/>
        <w:i w:val="0"/>
        <w:strike w:val="0"/>
        <w:dstrike w:val="0"/>
        <w:color w:val="000000"/>
        <w:sz w:val="16"/>
        <w:szCs w:val="16"/>
        <w:u w:val="none" w:color="000000"/>
        <w:bdr w:val="none" w:sz="0" w:space="0" w:color="auto"/>
        <w:shd w:val="clear" w:color="auto" w:fill="auto"/>
        <w:vertAlign w:val="superscript"/>
      </w:rPr>
    </w:lvl>
    <w:lvl w:ilvl="1" w:tplc="8EE8D6BC">
      <w:start w:val="1"/>
      <w:numFmt w:val="bullet"/>
      <w:lvlText w:val=""/>
      <w:lvlJc w:val="left"/>
      <w:pPr>
        <w:ind w:left="705"/>
      </w:pPr>
      <w:rPr>
        <w:rFonts w:ascii="Segoe UI Symbol" w:eastAsia="Segoe UI Symbol" w:hAnsi="Segoe UI Symbol" w:cs="Segoe UI Symbol"/>
        <w:b w:val="0"/>
        <w:i w:val="0"/>
        <w:strike w:val="0"/>
        <w:dstrike w:val="0"/>
        <w:color w:val="343434"/>
        <w:sz w:val="16"/>
        <w:szCs w:val="16"/>
        <w:u w:val="none" w:color="000000"/>
        <w:bdr w:val="none" w:sz="0" w:space="0" w:color="auto"/>
        <w:shd w:val="clear" w:color="auto" w:fill="auto"/>
        <w:vertAlign w:val="baseline"/>
      </w:rPr>
    </w:lvl>
    <w:lvl w:ilvl="2" w:tplc="A5FAEC2C">
      <w:start w:val="2"/>
      <w:numFmt w:val="decimal"/>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64419F8">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4" w:tplc="BF42BFFA">
      <w:start w:val="1"/>
      <w:numFmt w:val="bullet"/>
      <w:lvlText w:val="o"/>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9DA544E">
      <w:start w:val="1"/>
      <w:numFmt w:val="bullet"/>
      <w:lvlText w:val="▪"/>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4A468BA">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DECA16">
      <w:start w:val="1"/>
      <w:numFmt w:val="bullet"/>
      <w:lvlText w:val="o"/>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8945E92">
      <w:start w:val="1"/>
      <w:numFmt w:val="bullet"/>
      <w:lvlText w:val="▪"/>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D815753"/>
    <w:multiLevelType w:val="hybridMultilevel"/>
    <w:tmpl w:val="A7829140"/>
    <w:lvl w:ilvl="0" w:tplc="D7A0B480">
      <w:start w:val="1"/>
      <w:numFmt w:val="decimal"/>
      <w:lvlText w:val="%1)"/>
      <w:lvlJc w:val="left"/>
      <w:pPr>
        <w:ind w:left="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5E0968">
      <w:start w:val="1"/>
      <w:numFmt w:val="lowerLetter"/>
      <w:lvlText w:val="%2"/>
      <w:lvlJc w:val="left"/>
      <w:pPr>
        <w:ind w:left="11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002DE78">
      <w:start w:val="1"/>
      <w:numFmt w:val="lowerRoman"/>
      <w:lvlText w:val="%3"/>
      <w:lvlJc w:val="left"/>
      <w:pPr>
        <w:ind w:left="19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A063CC">
      <w:start w:val="1"/>
      <w:numFmt w:val="decimal"/>
      <w:lvlText w:val="%4"/>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F88C9C">
      <w:start w:val="1"/>
      <w:numFmt w:val="lowerLetter"/>
      <w:lvlText w:val="%5"/>
      <w:lvlJc w:val="left"/>
      <w:pPr>
        <w:ind w:left="3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44CFAFA">
      <w:start w:val="1"/>
      <w:numFmt w:val="lowerRoman"/>
      <w:lvlText w:val="%6"/>
      <w:lvlJc w:val="left"/>
      <w:pPr>
        <w:ind w:left="4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8CA30BE">
      <w:start w:val="1"/>
      <w:numFmt w:val="decimal"/>
      <w:lvlText w:val="%7"/>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118965A">
      <w:start w:val="1"/>
      <w:numFmt w:val="lowerLetter"/>
      <w:lvlText w:val="%8"/>
      <w:lvlJc w:val="left"/>
      <w:pPr>
        <w:ind w:left="5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2DECEA2">
      <w:start w:val="1"/>
      <w:numFmt w:val="lowerRoman"/>
      <w:lvlText w:val="%9"/>
      <w:lvlJc w:val="left"/>
      <w:pPr>
        <w:ind w:left="6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EF77607"/>
    <w:multiLevelType w:val="hybridMultilevel"/>
    <w:tmpl w:val="9528ACCA"/>
    <w:lvl w:ilvl="0" w:tplc="66B6CFCA">
      <w:start w:val="1"/>
      <w:numFmt w:val="lowerLetter"/>
      <w:lvlText w:val="(%1)"/>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2C05E2">
      <w:start w:val="1"/>
      <w:numFmt w:val="lowerLetter"/>
      <w:lvlText w:val="%2"/>
      <w:lvlJc w:val="left"/>
      <w:pPr>
        <w:ind w:left="15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090D012">
      <w:start w:val="1"/>
      <w:numFmt w:val="lowerRoman"/>
      <w:lvlText w:val="%3"/>
      <w:lvlJc w:val="left"/>
      <w:pPr>
        <w:ind w:left="22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90C55E4">
      <w:start w:val="1"/>
      <w:numFmt w:val="decimal"/>
      <w:lvlText w:val="%4"/>
      <w:lvlJc w:val="left"/>
      <w:pPr>
        <w:ind w:left="2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6291A6">
      <w:start w:val="1"/>
      <w:numFmt w:val="lowerLetter"/>
      <w:lvlText w:val="%5"/>
      <w:lvlJc w:val="left"/>
      <w:pPr>
        <w:ind w:left="3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48892AC">
      <w:start w:val="1"/>
      <w:numFmt w:val="lowerRoman"/>
      <w:lvlText w:val="%6"/>
      <w:lvlJc w:val="left"/>
      <w:pPr>
        <w:ind w:left="4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74A6C90">
      <w:start w:val="1"/>
      <w:numFmt w:val="decimal"/>
      <w:lvlText w:val="%7"/>
      <w:lvlJc w:val="left"/>
      <w:pPr>
        <w:ind w:left="51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46E77D8">
      <w:start w:val="1"/>
      <w:numFmt w:val="lowerLetter"/>
      <w:lvlText w:val="%8"/>
      <w:lvlJc w:val="left"/>
      <w:pPr>
        <w:ind w:left="58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37C92FE">
      <w:start w:val="1"/>
      <w:numFmt w:val="lowerRoman"/>
      <w:lvlText w:val="%9"/>
      <w:lvlJc w:val="left"/>
      <w:pPr>
        <w:ind w:left="65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F9F1E0A"/>
    <w:multiLevelType w:val="hybridMultilevel"/>
    <w:tmpl w:val="238881EA"/>
    <w:lvl w:ilvl="0" w:tplc="5830AD90">
      <w:start w:val="2"/>
      <w:numFmt w:val="decimal"/>
      <w:lvlText w:val="%1."/>
      <w:lvlJc w:val="left"/>
      <w:pPr>
        <w:ind w:left="91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98C1BB8">
      <w:start w:val="1"/>
      <w:numFmt w:val="lowerLetter"/>
      <w:lvlText w:val="%2"/>
      <w:lvlJc w:val="left"/>
      <w:pPr>
        <w:ind w:left="189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B3FA0E7A">
      <w:start w:val="1"/>
      <w:numFmt w:val="lowerRoman"/>
      <w:lvlText w:val="%3"/>
      <w:lvlJc w:val="left"/>
      <w:pPr>
        <w:ind w:left="261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A78E132">
      <w:start w:val="1"/>
      <w:numFmt w:val="decimal"/>
      <w:lvlText w:val="%4"/>
      <w:lvlJc w:val="left"/>
      <w:pPr>
        <w:ind w:left="333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CC14A38E">
      <w:start w:val="1"/>
      <w:numFmt w:val="lowerLetter"/>
      <w:lvlText w:val="%5"/>
      <w:lvlJc w:val="left"/>
      <w:pPr>
        <w:ind w:left="405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18028078">
      <w:start w:val="1"/>
      <w:numFmt w:val="lowerRoman"/>
      <w:lvlText w:val="%6"/>
      <w:lvlJc w:val="left"/>
      <w:pPr>
        <w:ind w:left="477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05866508">
      <w:start w:val="1"/>
      <w:numFmt w:val="decimal"/>
      <w:lvlText w:val="%7"/>
      <w:lvlJc w:val="left"/>
      <w:pPr>
        <w:ind w:left="549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397CA468">
      <w:start w:val="1"/>
      <w:numFmt w:val="lowerLetter"/>
      <w:lvlText w:val="%8"/>
      <w:lvlJc w:val="left"/>
      <w:pPr>
        <w:ind w:left="621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AAD2E038">
      <w:start w:val="1"/>
      <w:numFmt w:val="lowerRoman"/>
      <w:lvlText w:val="%9"/>
      <w:lvlJc w:val="left"/>
      <w:pPr>
        <w:ind w:left="693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8" w15:restartNumberingAfterBreak="0">
    <w:nsid w:val="61DD2252"/>
    <w:multiLevelType w:val="hybridMultilevel"/>
    <w:tmpl w:val="AD6EF132"/>
    <w:lvl w:ilvl="0" w:tplc="9A0408DE">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006144">
      <w:start w:val="1"/>
      <w:numFmt w:val="bullet"/>
      <w:lvlText w:val="o"/>
      <w:lvlJc w:val="left"/>
      <w:pPr>
        <w:ind w:left="154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BACD3B4">
      <w:start w:val="1"/>
      <w:numFmt w:val="bullet"/>
      <w:lvlText w:val="▪"/>
      <w:lvlJc w:val="left"/>
      <w:pPr>
        <w:ind w:left="22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12C3EC">
      <w:start w:val="1"/>
      <w:numFmt w:val="bullet"/>
      <w:lvlText w:val="•"/>
      <w:lvlJc w:val="left"/>
      <w:pPr>
        <w:ind w:left="2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950F718">
      <w:start w:val="1"/>
      <w:numFmt w:val="bullet"/>
      <w:lvlText w:val="o"/>
      <w:lvlJc w:val="left"/>
      <w:pPr>
        <w:ind w:left="37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87EC3DC">
      <w:start w:val="1"/>
      <w:numFmt w:val="bullet"/>
      <w:lvlText w:val="▪"/>
      <w:lvlJc w:val="left"/>
      <w:pPr>
        <w:ind w:left="44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B66850A">
      <w:start w:val="1"/>
      <w:numFmt w:val="bullet"/>
      <w:lvlText w:val="•"/>
      <w:lvlJc w:val="left"/>
      <w:pPr>
        <w:ind w:left="51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C2F2EA">
      <w:start w:val="1"/>
      <w:numFmt w:val="bullet"/>
      <w:lvlText w:val="o"/>
      <w:lvlJc w:val="left"/>
      <w:pPr>
        <w:ind w:left="58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022F74C">
      <w:start w:val="1"/>
      <w:numFmt w:val="bullet"/>
      <w:lvlText w:val="▪"/>
      <w:lvlJc w:val="left"/>
      <w:pPr>
        <w:ind w:left="65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4391AA2"/>
    <w:multiLevelType w:val="hybridMultilevel"/>
    <w:tmpl w:val="D8EA04A6"/>
    <w:lvl w:ilvl="0" w:tplc="D2AA48C4">
      <w:start w:val="1"/>
      <w:numFmt w:val="lowerLetter"/>
      <w:lvlText w:val="%1)"/>
      <w:lvlJc w:val="left"/>
      <w:pPr>
        <w:ind w:left="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23C0038">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9DA830E">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C86A732">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3C03A08">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E182E0C">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A04D82">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BAC787E">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76063A">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71A522B9"/>
    <w:multiLevelType w:val="hybridMultilevel"/>
    <w:tmpl w:val="9DE8709A"/>
    <w:lvl w:ilvl="0" w:tplc="39584CE4">
      <w:start w:val="1"/>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19A7FDE">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E9A0E42">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87EC3DC">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470CE88">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D8A333A">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D964E0C">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BBC9822">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C0550E">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7B786D3C"/>
    <w:multiLevelType w:val="hybridMultilevel"/>
    <w:tmpl w:val="CB38987C"/>
    <w:lvl w:ilvl="0" w:tplc="523EAC9C">
      <w:start w:val="1"/>
      <w:numFmt w:val="bullet"/>
      <w:lvlText w:val="–"/>
      <w:lvlJc w:val="left"/>
      <w:pPr>
        <w:ind w:left="8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A38F568">
      <w:start w:val="1"/>
      <w:numFmt w:val="bullet"/>
      <w:lvlText w:val="o"/>
      <w:lvlJc w:val="left"/>
      <w:pPr>
        <w:ind w:left="11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D321ED0">
      <w:start w:val="1"/>
      <w:numFmt w:val="bullet"/>
      <w:lvlText w:val="▪"/>
      <w:lvlJc w:val="left"/>
      <w:pPr>
        <w:ind w:left="19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944A1AA">
      <w:start w:val="1"/>
      <w:numFmt w:val="bullet"/>
      <w:lvlText w:val="•"/>
      <w:lvlJc w:val="left"/>
      <w:pPr>
        <w:ind w:left="26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2326634">
      <w:start w:val="1"/>
      <w:numFmt w:val="bullet"/>
      <w:lvlText w:val="o"/>
      <w:lvlJc w:val="left"/>
      <w:pPr>
        <w:ind w:left="33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B6401C">
      <w:start w:val="1"/>
      <w:numFmt w:val="bullet"/>
      <w:lvlText w:val="▪"/>
      <w:lvlJc w:val="left"/>
      <w:pPr>
        <w:ind w:left="40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47088A4">
      <w:start w:val="1"/>
      <w:numFmt w:val="bullet"/>
      <w:lvlText w:val="•"/>
      <w:lvlJc w:val="left"/>
      <w:pPr>
        <w:ind w:left="47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8FCD6AE">
      <w:start w:val="1"/>
      <w:numFmt w:val="bullet"/>
      <w:lvlText w:val="o"/>
      <w:lvlJc w:val="left"/>
      <w:pPr>
        <w:ind w:left="55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CE4002E">
      <w:start w:val="1"/>
      <w:numFmt w:val="bullet"/>
      <w:lvlText w:val="▪"/>
      <w:lvlJc w:val="left"/>
      <w:pPr>
        <w:ind w:left="62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D1724F2"/>
    <w:multiLevelType w:val="hybridMultilevel"/>
    <w:tmpl w:val="27A2FE66"/>
    <w:lvl w:ilvl="0" w:tplc="1586022A">
      <w:start w:val="1"/>
      <w:numFmt w:val="lowerLetter"/>
      <w:lvlText w:val="%1)"/>
      <w:lvlJc w:val="left"/>
      <w:pPr>
        <w:ind w:left="2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53AE09E">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3546AFC">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52458AA">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E9E8F6C">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2EB7DA">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B90EB3C">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BFC12CE">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130CE1E">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DC36EAC"/>
    <w:multiLevelType w:val="hybridMultilevel"/>
    <w:tmpl w:val="0E02DD56"/>
    <w:lvl w:ilvl="0" w:tplc="EAA6A200">
      <w:start w:val="1"/>
      <w:numFmt w:val="lowerLetter"/>
      <w:lvlText w:val="%1)"/>
      <w:lvlJc w:val="left"/>
      <w:pPr>
        <w:ind w:left="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C60394E">
      <w:start w:val="1"/>
      <w:numFmt w:val="lowerLetter"/>
      <w:lvlText w:val="%2"/>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C000DC">
      <w:start w:val="1"/>
      <w:numFmt w:val="lowerRoman"/>
      <w:lvlText w:val="%3"/>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A2CF090">
      <w:start w:val="1"/>
      <w:numFmt w:val="decimal"/>
      <w:lvlText w:val="%4"/>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E80962">
      <w:start w:val="1"/>
      <w:numFmt w:val="lowerLetter"/>
      <w:lvlText w:val="%5"/>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816D38E">
      <w:start w:val="1"/>
      <w:numFmt w:val="lowerRoman"/>
      <w:lvlText w:val="%6"/>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B06C18">
      <w:start w:val="1"/>
      <w:numFmt w:val="decimal"/>
      <w:lvlText w:val="%7"/>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9A5E92">
      <w:start w:val="1"/>
      <w:numFmt w:val="lowerLetter"/>
      <w:lvlText w:val="%8"/>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876D2FE">
      <w:start w:val="1"/>
      <w:numFmt w:val="lowerRoman"/>
      <w:lvlText w:val="%9"/>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13"/>
  </w:num>
  <w:num w:numId="2">
    <w:abstractNumId w:val="24"/>
  </w:num>
  <w:num w:numId="3">
    <w:abstractNumId w:val="17"/>
  </w:num>
  <w:num w:numId="4">
    <w:abstractNumId w:val="4"/>
  </w:num>
  <w:num w:numId="5">
    <w:abstractNumId w:val="2"/>
  </w:num>
  <w:num w:numId="6">
    <w:abstractNumId w:val="7"/>
  </w:num>
  <w:num w:numId="7">
    <w:abstractNumId w:val="11"/>
  </w:num>
  <w:num w:numId="8">
    <w:abstractNumId w:val="9"/>
  </w:num>
  <w:num w:numId="9">
    <w:abstractNumId w:val="8"/>
  </w:num>
  <w:num w:numId="10">
    <w:abstractNumId w:val="33"/>
  </w:num>
  <w:num w:numId="11">
    <w:abstractNumId w:val="3"/>
  </w:num>
  <w:num w:numId="12">
    <w:abstractNumId w:val="26"/>
  </w:num>
  <w:num w:numId="13">
    <w:abstractNumId w:val="21"/>
  </w:num>
  <w:num w:numId="14">
    <w:abstractNumId w:val="14"/>
  </w:num>
  <w:num w:numId="15">
    <w:abstractNumId w:val="6"/>
  </w:num>
  <w:num w:numId="16">
    <w:abstractNumId w:val="32"/>
  </w:num>
  <w:num w:numId="17">
    <w:abstractNumId w:val="30"/>
  </w:num>
  <w:num w:numId="18">
    <w:abstractNumId w:val="22"/>
  </w:num>
  <w:num w:numId="19">
    <w:abstractNumId w:val="19"/>
  </w:num>
  <w:num w:numId="20">
    <w:abstractNumId w:val="1"/>
  </w:num>
  <w:num w:numId="21">
    <w:abstractNumId w:val="10"/>
  </w:num>
  <w:num w:numId="22">
    <w:abstractNumId w:val="20"/>
  </w:num>
  <w:num w:numId="23">
    <w:abstractNumId w:val="23"/>
  </w:num>
  <w:num w:numId="24">
    <w:abstractNumId w:val="31"/>
  </w:num>
  <w:num w:numId="25">
    <w:abstractNumId w:val="12"/>
  </w:num>
  <w:num w:numId="26">
    <w:abstractNumId w:val="16"/>
  </w:num>
  <w:num w:numId="27">
    <w:abstractNumId w:val="18"/>
  </w:num>
  <w:num w:numId="28">
    <w:abstractNumId w:val="28"/>
  </w:num>
  <w:num w:numId="29">
    <w:abstractNumId w:val="25"/>
  </w:num>
  <w:num w:numId="30">
    <w:abstractNumId w:val="29"/>
  </w:num>
  <w:num w:numId="31">
    <w:abstractNumId w:val="15"/>
  </w:num>
  <w:num w:numId="32">
    <w:abstractNumId w:val="0"/>
  </w:num>
  <w:num w:numId="33">
    <w:abstractNumId w:val="5"/>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B8E"/>
    <w:rsid w:val="00010B1D"/>
    <w:rsid w:val="00025B8E"/>
    <w:rsid w:val="00506297"/>
    <w:rsid w:val="006C7E2A"/>
    <w:rsid w:val="00C13F2C"/>
    <w:rsid w:val="00C63BBD"/>
    <w:rsid w:val="00D10F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BDFC97-1F26-4B3F-A025-FA2BA92C1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99"/>
      <w:ind w:left="14" w:hanging="10"/>
      <w:outlineLvl w:val="0"/>
    </w:pPr>
    <w:rPr>
      <w:rFonts w:ascii="Times New Roman" w:eastAsia="Times New Roman" w:hAnsi="Times New Roman" w:cs="Times New Roman"/>
      <w:b/>
      <w:color w:val="000000"/>
      <w:sz w:val="18"/>
    </w:rPr>
  </w:style>
  <w:style w:type="paragraph" w:styleId="Nagwek2">
    <w:name w:val="heading 2"/>
    <w:next w:val="Normalny"/>
    <w:link w:val="Nagwek2Znak"/>
    <w:uiPriority w:val="9"/>
    <w:unhideWhenUsed/>
    <w:qFormat/>
    <w:pPr>
      <w:keepNext/>
      <w:keepLines/>
      <w:spacing w:after="333" w:line="265" w:lineRule="auto"/>
      <w:ind w:left="10" w:hanging="10"/>
      <w:jc w:val="center"/>
      <w:outlineLvl w:val="1"/>
    </w:pPr>
    <w:rPr>
      <w:rFonts w:ascii="Times New Roman" w:eastAsia="Times New Roman" w:hAnsi="Times New Roman" w:cs="Times New Roman"/>
      <w:b/>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b/>
      <w:color w:val="000000"/>
      <w:sz w:val="18"/>
    </w:rPr>
  </w:style>
  <w:style w:type="paragraph" w:customStyle="1" w:styleId="footnotedescription">
    <w:name w:val="footnote description"/>
    <w:next w:val="Normalny"/>
    <w:link w:val="footnotedescriptionChar"/>
    <w:hidden/>
    <w:pPr>
      <w:spacing w:after="0"/>
      <w:jc w:val="both"/>
    </w:pPr>
    <w:rPr>
      <w:rFonts w:ascii="Calibri" w:eastAsia="Calibri" w:hAnsi="Calibri" w:cs="Calibri"/>
      <w:color w:val="000000"/>
      <w:sz w:val="16"/>
    </w:rPr>
  </w:style>
  <w:style w:type="character" w:customStyle="1" w:styleId="footnotedescriptionChar">
    <w:name w:val="footnote description Char"/>
    <w:link w:val="footnotedescription"/>
    <w:rPr>
      <w:rFonts w:ascii="Calibri" w:eastAsia="Calibri" w:hAnsi="Calibri" w:cs="Calibri"/>
      <w:color w:val="000000"/>
      <w:sz w:val="16"/>
    </w:rPr>
  </w:style>
  <w:style w:type="character" w:customStyle="1" w:styleId="Nagwek2Znak">
    <w:name w:val="Nagłówek 2 Znak"/>
    <w:link w:val="Nagwek2"/>
    <w:rPr>
      <w:rFonts w:ascii="Times New Roman" w:eastAsia="Times New Roman" w:hAnsi="Times New Roman" w:cs="Times New Roman"/>
      <w:b/>
      <w:color w:val="000000"/>
      <w:sz w:val="22"/>
    </w:rPr>
  </w:style>
  <w:style w:type="character" w:customStyle="1" w:styleId="footnotemark">
    <w:name w:val="footnote mark"/>
    <w:hidden/>
    <w:rPr>
      <w:rFonts w:ascii="Calibri" w:eastAsia="Calibri" w:hAnsi="Calibri" w:cs="Calibri"/>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21" Type="http://schemas.openxmlformats.org/officeDocument/2006/relationships/hyperlink" Target="http://www.pq-verein.de/" TargetMode="External"/><Relationship Id="rId3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9" Type="http://schemas.openxmlformats.org/officeDocument/2006/relationships/hyperlink" Target="https://prod.ceidg.gov.pl/ceidg/ceidg.public.ui/search.aspx" TargetMode="External"/><Relationship Id="rId97" Type="http://schemas.openxmlformats.org/officeDocument/2006/relationships/footer" Target="footer5.xml"/><Relationship Id="rId7" Type="http://schemas.openxmlformats.org/officeDocument/2006/relationships/hyperlink" Target="https://ec.europa.eu/growth/tools-databases/espd/filter?lang=pl" TargetMode="External"/><Relationship Id="rId7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92" Type="http://schemas.openxmlformats.org/officeDocument/2006/relationships/hyperlink" Target="https://pl.wikipedia.org/wiki/%C5%9Arodowisko" TargetMode="External"/><Relationship Id="rId2" Type="http://schemas.openxmlformats.org/officeDocument/2006/relationships/styles" Target="styles.xml"/><Relationship Id="rId16" Type="http://schemas.openxmlformats.org/officeDocument/2006/relationships/hyperlink" Target="https://ec.europa.eu/growth/tools-databases/espd/filter?lang=pl" TargetMode="External"/><Relationship Id="rId2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11" Type="http://schemas.openxmlformats.org/officeDocument/2006/relationships/footer" Target="footer1.xml"/><Relationship Id="rId2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7" Type="http://schemas.openxmlformats.org/officeDocument/2006/relationships/hyperlink" Target="https://ems.ms.gov.pl/krs/wyszukiwaniepodmiotu" TargetMode="External"/><Relationship Id="rId5" Type="http://schemas.openxmlformats.org/officeDocument/2006/relationships/footnotes" Target="footnotes.xml"/><Relationship Id="rId6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90" Type="http://schemas.openxmlformats.org/officeDocument/2006/relationships/hyperlink" Target="https://pl.wikipedia.org/wiki/Zarz%C4%85dzanie" TargetMode="External"/><Relationship Id="rId95" Type="http://schemas.openxmlformats.org/officeDocument/2006/relationships/image" Target="media/image1.png"/><Relationship Id="rId19" Type="http://schemas.openxmlformats.org/officeDocument/2006/relationships/hyperlink" Target="http://www.pq-verein.de/" TargetMode="External"/><Relationship Id="rId14" Type="http://schemas.openxmlformats.org/officeDocument/2006/relationships/hyperlink" Target="https://ec.europa.eu/growth/tools-databases/espd/filter?lang=pl" TargetMode="External"/><Relationship Id="rId22" Type="http://schemas.openxmlformats.org/officeDocument/2006/relationships/hyperlink" Target="http://www.isvz.cz/isvz/Podpora/ISVZ.aspx" TargetMode="External"/><Relationship Id="rId2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100" Type="http://schemas.openxmlformats.org/officeDocument/2006/relationships/theme" Target="theme/theme1.xml"/><Relationship Id="rId8" Type="http://schemas.openxmlformats.org/officeDocument/2006/relationships/hyperlink" Target="https://ec.europa.eu/growth/tools-databases/espd/filter?lang=pl" TargetMode="External"/><Relationship Id="rId5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93" Type="http://schemas.openxmlformats.org/officeDocument/2006/relationships/hyperlink" Target="https://pl.wikipedia.org/wiki/%C5%9Arodowisko" TargetMode="External"/><Relationship Id="rId98" Type="http://schemas.openxmlformats.org/officeDocument/2006/relationships/footer" Target="footer6.xm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s://ec.europa.eu/growth/tools-databases/espd/filter?lang=pl" TargetMode="External"/><Relationship Id="rId2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20" Type="http://schemas.openxmlformats.org/officeDocument/2006/relationships/hyperlink" Target="http://www.pq-verein.de/" TargetMode="External"/><Relationship Id="rId4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8" Type="http://schemas.openxmlformats.org/officeDocument/2006/relationships/hyperlink" Target="https://prod.ceidg.gov.pl/ceidg/ceidg.public.ui/search.aspx" TargetMode="External"/><Relationship Id="rId91" Type="http://schemas.openxmlformats.org/officeDocument/2006/relationships/hyperlink" Target="https://pl.wikipedia.org/wiki/Zarz%C4%85dzanie" TargetMode="External"/><Relationship Id="rId9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c.europa.eu/growth/tools-databases/espd/filter?lang=pl" TargetMode="External"/><Relationship Id="rId23" Type="http://schemas.openxmlformats.org/officeDocument/2006/relationships/hyperlink" Target="http://www.isvz.cz/isvz/Podpora/ISVZ.aspx" TargetMode="External"/><Relationship Id="rId2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36"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7"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10" Type="http://schemas.openxmlformats.org/officeDocument/2006/relationships/hyperlink" Target="https://ec.europa.eu/growth/tools-databases/espd/filter?lang=pl" TargetMode="External"/><Relationship Id="rId3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44"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52"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0"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65"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3"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78"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1"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 Id="rId86" Type="http://schemas.openxmlformats.org/officeDocument/2006/relationships/hyperlink" Target="https://ems.ms.gov.pl/krs/wyszukiwaniepodmiotu" TargetMode="External"/><Relationship Id="rId94" Type="http://schemas.openxmlformats.org/officeDocument/2006/relationships/hyperlink" Target="https://pl.wikipedia.org/wiki/%C5%9Arodowisko"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c.europa.eu/growth/tools-databases/espd/filter?lang=pl" TargetMode="External"/><Relationship Id="rId13" Type="http://schemas.openxmlformats.org/officeDocument/2006/relationships/footer" Target="footer3.xml"/><Relationship Id="rId18" Type="http://schemas.openxmlformats.org/officeDocument/2006/relationships/hyperlink" Target="http://www.pq-verein.de/" TargetMode="External"/><Relationship Id="rId39" Type="http://schemas.openxmlformats.org/officeDocument/2006/relationships/hyperlink" Target="https://www.uzp.gov.pl/baza-wiedzy/interpretacja-przepisow/opinie-dotyczace-ustawy-pzp/warunki-udzialu-w-postepowaniu,-dokumenty-skladane-przez-wykonawcow-oraz-ich-wykluczenie-z-udzialu-w-postepowaniu/dopuszczalnosc-zadania-przez-zamawiajacego-przedstawienia-przez-wykonawce-dokumentow-podmiotowych-dotyczacych-podmiotu-trzeciego"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112</Pages>
  <Words>23360</Words>
  <Characters>140163</Characters>
  <Application>Microsoft Office Word</Application>
  <DocSecurity>0</DocSecurity>
  <Lines>1168</Lines>
  <Paragraphs>326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163197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Marcin Kurek</cp:lastModifiedBy>
  <cp:revision>2</cp:revision>
  <dcterms:created xsi:type="dcterms:W3CDTF">2018-05-23T18:36:00Z</dcterms:created>
  <dcterms:modified xsi:type="dcterms:W3CDTF">2018-05-30T07:52:00Z</dcterms:modified>
</cp:coreProperties>
</file>